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EF431" w14:textId="77777777" w:rsidR="00E67628" w:rsidRPr="00450676" w:rsidRDefault="00E67628" w:rsidP="00450676">
      <w:pPr>
        <w:jc w:val="both"/>
        <w:rPr>
          <w:rFonts w:ascii="Times New Roman" w:hAnsi="Times New Roman"/>
          <w:b/>
          <w:szCs w:val="24"/>
          <w:u w:val="single"/>
        </w:rPr>
      </w:pPr>
      <w:r w:rsidRPr="00450676">
        <w:rPr>
          <w:rFonts w:ascii="Times New Roman" w:hAnsi="Times New Roman"/>
          <w:b/>
          <w:szCs w:val="24"/>
          <w:u w:val="single"/>
        </w:rPr>
        <w:t>Luis Hernandez-Lopez’s lawful entry</w:t>
      </w:r>
    </w:p>
    <w:p w14:paraId="1FFADD23" w14:textId="77777777" w:rsidR="00E67628" w:rsidRPr="00450676" w:rsidRDefault="00E67628" w:rsidP="00450676">
      <w:pPr>
        <w:jc w:val="both"/>
        <w:rPr>
          <w:rFonts w:ascii="Times New Roman" w:hAnsi="Times New Roman"/>
          <w:szCs w:val="24"/>
          <w:u w:val="single"/>
        </w:rPr>
      </w:pPr>
    </w:p>
    <w:p w14:paraId="76023964"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The I-485 was denied due to Luis’ inability to provide written proof that he entered the US lawfully.</w:t>
      </w:r>
    </w:p>
    <w:p w14:paraId="4E609B93" w14:textId="77777777" w:rsidR="00E67628" w:rsidRPr="00450676" w:rsidRDefault="00E67628" w:rsidP="00450676">
      <w:pPr>
        <w:jc w:val="both"/>
        <w:rPr>
          <w:rFonts w:ascii="Times New Roman" w:hAnsi="Times New Roman"/>
          <w:szCs w:val="24"/>
        </w:rPr>
      </w:pPr>
    </w:p>
    <w:p w14:paraId="6B3D461E"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Luis states under oath that he lawfully entered the US on or about September 1, 1981 through San Diego.</w:t>
      </w:r>
    </w:p>
    <w:p w14:paraId="28B7E66F" w14:textId="77777777" w:rsidR="00E67628" w:rsidRPr="00450676" w:rsidRDefault="00E67628" w:rsidP="00450676">
      <w:pPr>
        <w:jc w:val="both"/>
        <w:rPr>
          <w:rFonts w:ascii="Times New Roman" w:hAnsi="Times New Roman"/>
          <w:szCs w:val="24"/>
        </w:rPr>
      </w:pPr>
    </w:p>
    <w:p w14:paraId="320FFBC7"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In late 2010 we requested a copy of Luis’ immigration file pursuant to the Freedom of Information Act (FOIA).  The 86 pages of documents (some redacted) that we received as a result of that request include a copy of an INS Central Index System database printout.</w:t>
      </w:r>
    </w:p>
    <w:p w14:paraId="2A3AD7C3" w14:textId="77777777" w:rsidR="00E67628" w:rsidRPr="00450676" w:rsidRDefault="00E67628" w:rsidP="00450676">
      <w:pPr>
        <w:jc w:val="both"/>
        <w:rPr>
          <w:rFonts w:ascii="Times New Roman" w:hAnsi="Times New Roman"/>
          <w:szCs w:val="24"/>
        </w:rPr>
      </w:pPr>
    </w:p>
    <w:p w14:paraId="2E741ED8"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The printout, a copy of which is in the record as part of our response to a Request for Evidence, indicates a DOE (Date of Entry?) of 09011981 (September 1, 1981), which coincides with Luis’ sworn statement.</w:t>
      </w:r>
    </w:p>
    <w:p w14:paraId="37D0177D" w14:textId="77777777" w:rsidR="00E67628" w:rsidRPr="00450676" w:rsidRDefault="00E67628" w:rsidP="00450676">
      <w:pPr>
        <w:jc w:val="both"/>
        <w:rPr>
          <w:rFonts w:ascii="Times New Roman" w:hAnsi="Times New Roman"/>
          <w:szCs w:val="24"/>
        </w:rPr>
      </w:pPr>
    </w:p>
    <w:p w14:paraId="4521FA24"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 xml:space="preserve">Mr. Hernandez-Lopez states that in 1985 he reentered the US with a student visa and that he studied at a US College – SUNY Rockland Community College in </w:t>
      </w:r>
      <w:proofErr w:type="spellStart"/>
      <w:r w:rsidRPr="00450676">
        <w:rPr>
          <w:rFonts w:ascii="Times New Roman" w:hAnsi="Times New Roman"/>
          <w:szCs w:val="24"/>
        </w:rPr>
        <w:t>Sufferin</w:t>
      </w:r>
      <w:proofErr w:type="spellEnd"/>
      <w:r w:rsidRPr="00450676">
        <w:rPr>
          <w:rFonts w:ascii="Times New Roman" w:hAnsi="Times New Roman"/>
          <w:szCs w:val="24"/>
        </w:rPr>
        <w:t>, New York.</w:t>
      </w:r>
    </w:p>
    <w:p w14:paraId="438607DA" w14:textId="77777777" w:rsidR="00E67628" w:rsidRPr="00450676" w:rsidRDefault="00E67628" w:rsidP="00450676">
      <w:pPr>
        <w:jc w:val="both"/>
        <w:rPr>
          <w:rFonts w:ascii="Times New Roman" w:hAnsi="Times New Roman"/>
          <w:szCs w:val="24"/>
        </w:rPr>
      </w:pPr>
    </w:p>
    <w:p w14:paraId="07E808B2"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 xml:space="preserve">He states that his passport – which included the visa and would have provided evidence of lawful admission in the form of entry stamps – was stolen in </w:t>
      </w:r>
      <w:proofErr w:type="spellStart"/>
      <w:r w:rsidRPr="00450676">
        <w:rPr>
          <w:rFonts w:ascii="Times New Roman" w:hAnsi="Times New Roman"/>
          <w:szCs w:val="24"/>
        </w:rPr>
        <w:t>Kapa’a</w:t>
      </w:r>
      <w:proofErr w:type="spellEnd"/>
      <w:r w:rsidRPr="00450676">
        <w:rPr>
          <w:rFonts w:ascii="Times New Roman" w:hAnsi="Times New Roman"/>
          <w:szCs w:val="24"/>
        </w:rPr>
        <w:t xml:space="preserve">, Hawaii.  Luis submitted a copy the police report regarding this theft, which includes, in the list of stolen items, his passport.  </w:t>
      </w:r>
    </w:p>
    <w:p w14:paraId="6BA2479D" w14:textId="77777777" w:rsidR="00E67628" w:rsidRPr="00450676" w:rsidRDefault="00E67628" w:rsidP="00450676">
      <w:pPr>
        <w:jc w:val="both"/>
        <w:rPr>
          <w:rFonts w:ascii="Times New Roman" w:hAnsi="Times New Roman"/>
          <w:szCs w:val="24"/>
        </w:rPr>
      </w:pPr>
    </w:p>
    <w:p w14:paraId="4BA23FA8"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 xml:space="preserve">The record also includes a transcript indicating that Luis attended SUNY Rockland Community College in </w:t>
      </w:r>
      <w:proofErr w:type="spellStart"/>
      <w:r w:rsidRPr="00450676">
        <w:rPr>
          <w:rFonts w:ascii="Times New Roman" w:hAnsi="Times New Roman"/>
          <w:szCs w:val="24"/>
        </w:rPr>
        <w:t>Sufferin</w:t>
      </w:r>
      <w:proofErr w:type="spellEnd"/>
      <w:r w:rsidRPr="00450676">
        <w:rPr>
          <w:rFonts w:ascii="Times New Roman" w:hAnsi="Times New Roman"/>
          <w:szCs w:val="24"/>
        </w:rPr>
        <w:t xml:space="preserve">, New York from 1 February 1988 until 22 May 1988 – which tends to bolster the validity of Mr. Hernandez-Lopez’s sworn declaration. </w:t>
      </w:r>
    </w:p>
    <w:p w14:paraId="2A70DFFB" w14:textId="77777777" w:rsidR="00E67628" w:rsidRPr="00450676" w:rsidRDefault="00E67628" w:rsidP="00450676">
      <w:pPr>
        <w:jc w:val="both"/>
        <w:rPr>
          <w:rFonts w:ascii="Times New Roman" w:hAnsi="Times New Roman"/>
          <w:szCs w:val="24"/>
        </w:rPr>
      </w:pPr>
    </w:p>
    <w:p w14:paraId="474D72C1"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Page 16 of Mr. Hernandez-Lopez’s immigration file also contains a notation referring to theological studies, which also supports Mr. Hernandez-Lopez’s statement.  A copy of the notation was submitted along with our response to the Request for Evidence.</w:t>
      </w:r>
    </w:p>
    <w:p w14:paraId="01383666" w14:textId="77777777" w:rsidR="00E67628" w:rsidRPr="00450676" w:rsidRDefault="00E67628" w:rsidP="00450676">
      <w:pPr>
        <w:jc w:val="both"/>
        <w:rPr>
          <w:rFonts w:ascii="Times New Roman" w:hAnsi="Times New Roman"/>
          <w:szCs w:val="24"/>
        </w:rPr>
      </w:pPr>
    </w:p>
    <w:p w14:paraId="648BAA30"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The typed I-700 form that Mr. Hernandez-Lopez signed in 1988 includes a filled section under question 16 indicating “EWI”.  Luis states that Velma Townes of St. Raphael’s Church filled out this application, and that he signed where she told him to sign.  He states that he was not shown the entire application – only the signature page – and indicates that he did not understand the meaning of the application that was submitted for him.</w:t>
      </w:r>
    </w:p>
    <w:p w14:paraId="5D0CEA0C" w14:textId="77777777" w:rsidR="00E67628" w:rsidRPr="00450676" w:rsidRDefault="00E67628" w:rsidP="00450676">
      <w:pPr>
        <w:jc w:val="both"/>
        <w:rPr>
          <w:rFonts w:ascii="Times New Roman" w:hAnsi="Times New Roman"/>
          <w:szCs w:val="24"/>
        </w:rPr>
      </w:pPr>
    </w:p>
    <w:p w14:paraId="537BC844"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We ask the AAO to find Mr. Hernandez-Lopez’s sworn statements regarding the I-700 believable.  The immigration record that we were provided pursuant to FOIA shows a number of direct communications between Luis and the INS throughout the years.  Those direct communications from Luis indicate a nearly complete lack of understanding on Luis’ part of the nature or form of his potential immigration relief.</w:t>
      </w:r>
    </w:p>
    <w:p w14:paraId="4EBEC6D9" w14:textId="77777777" w:rsidR="00E67628" w:rsidRPr="00450676" w:rsidRDefault="00E67628" w:rsidP="00450676">
      <w:pPr>
        <w:jc w:val="both"/>
        <w:rPr>
          <w:rFonts w:ascii="Times New Roman" w:hAnsi="Times New Roman"/>
          <w:szCs w:val="24"/>
        </w:rPr>
      </w:pPr>
    </w:p>
    <w:p w14:paraId="07DF4D20"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 xml:space="preserve">On information and belief, Luis suffers from a somewhat severe anxiety disorder that sometimes renders his understanding and communications difficult.  He currently receives medication for this problem.  His condition may have been apparent during parts of the interview that took place </w:t>
      </w:r>
      <w:r w:rsidRPr="00450676">
        <w:rPr>
          <w:rFonts w:ascii="Times New Roman" w:hAnsi="Times New Roman"/>
          <w:szCs w:val="24"/>
        </w:rPr>
        <w:lastRenderedPageBreak/>
        <w:t>with the USCIS, and is also reflected in the difficulty Luis has in communicating through the enclosed declarations.</w:t>
      </w:r>
    </w:p>
    <w:p w14:paraId="1C9E7362" w14:textId="77777777" w:rsidR="00E67628" w:rsidRPr="00450676" w:rsidRDefault="00E67628" w:rsidP="00450676">
      <w:pPr>
        <w:jc w:val="both"/>
        <w:rPr>
          <w:rFonts w:ascii="Times New Roman" w:hAnsi="Times New Roman"/>
          <w:szCs w:val="24"/>
        </w:rPr>
      </w:pPr>
    </w:p>
    <w:p w14:paraId="05BD3745"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As the letters of support in the record indicate, Luis is a hard working, honest and reliable man.</w:t>
      </w:r>
    </w:p>
    <w:p w14:paraId="46FDFC2D" w14:textId="77777777" w:rsidR="00E67628" w:rsidRPr="00450676" w:rsidRDefault="00E67628" w:rsidP="00450676">
      <w:pPr>
        <w:jc w:val="both"/>
        <w:rPr>
          <w:rFonts w:ascii="Times New Roman" w:hAnsi="Times New Roman"/>
          <w:szCs w:val="24"/>
        </w:rPr>
      </w:pPr>
    </w:p>
    <w:p w14:paraId="18C02756"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INA Section 245(a) allows adjustment of status for those, like Mr. Hernandez-Lopez who were “inspected, admitted or paroled” into the US.</w:t>
      </w:r>
    </w:p>
    <w:p w14:paraId="1EB1D1AE" w14:textId="77777777" w:rsidR="00E67628" w:rsidRPr="00450676" w:rsidRDefault="00E67628" w:rsidP="00450676">
      <w:pPr>
        <w:jc w:val="both"/>
        <w:rPr>
          <w:rFonts w:ascii="Times New Roman" w:hAnsi="Times New Roman"/>
          <w:szCs w:val="24"/>
        </w:rPr>
      </w:pPr>
    </w:p>
    <w:p w14:paraId="26C5C5F9" w14:textId="77777777" w:rsidR="00E67628" w:rsidRPr="00450676" w:rsidRDefault="00E67628" w:rsidP="00450676">
      <w:pPr>
        <w:jc w:val="both"/>
        <w:rPr>
          <w:rFonts w:ascii="Times New Roman" w:hAnsi="Times New Roman"/>
          <w:szCs w:val="24"/>
        </w:rPr>
      </w:pPr>
      <w:r w:rsidRPr="00450676">
        <w:rPr>
          <w:rFonts w:ascii="Times New Roman" w:hAnsi="Times New Roman"/>
          <w:i/>
          <w:szCs w:val="24"/>
        </w:rPr>
        <w:t xml:space="preserve">Matter of </w:t>
      </w:r>
      <w:proofErr w:type="spellStart"/>
      <w:r w:rsidRPr="00450676">
        <w:rPr>
          <w:rFonts w:ascii="Times New Roman" w:hAnsi="Times New Roman"/>
          <w:i/>
          <w:szCs w:val="24"/>
        </w:rPr>
        <w:t>Areguillin</w:t>
      </w:r>
      <w:proofErr w:type="spellEnd"/>
      <w:r w:rsidRPr="00450676">
        <w:rPr>
          <w:rFonts w:ascii="Times New Roman" w:hAnsi="Times New Roman"/>
          <w:szCs w:val="24"/>
        </w:rPr>
        <w:t>, one of the seminal cases defining inspection and admission – and the standard of proof required for an alien to show that he was inspected and admitted – clearly finds that an alien’s credible testimony that he has been admitted is sufficient to meet the burden of proof required for adjustment of status.</w:t>
      </w:r>
      <w:r w:rsidRPr="00450676">
        <w:rPr>
          <w:rStyle w:val="FootnoteReference"/>
          <w:rFonts w:ascii="Times New Roman" w:hAnsi="Times New Roman"/>
          <w:szCs w:val="24"/>
        </w:rPr>
        <w:footnoteReference w:id="1"/>
      </w:r>
    </w:p>
    <w:p w14:paraId="0C48990F" w14:textId="77777777" w:rsidR="00E67628" w:rsidRPr="00450676" w:rsidRDefault="00E67628" w:rsidP="00450676">
      <w:pPr>
        <w:jc w:val="both"/>
        <w:rPr>
          <w:rFonts w:ascii="Times New Roman" w:hAnsi="Times New Roman"/>
          <w:szCs w:val="24"/>
        </w:rPr>
      </w:pPr>
    </w:p>
    <w:p w14:paraId="58247F62"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All of the evidence in the record supports a finding that Luis is a truthful, credible, person – even if he may lack an understanding of his place in the US immigration bureaucracy and be clueless about how to navigate it.</w:t>
      </w:r>
    </w:p>
    <w:p w14:paraId="0B37AF84" w14:textId="77777777" w:rsidR="00E67628" w:rsidRPr="00450676" w:rsidRDefault="00E67628" w:rsidP="00450676">
      <w:pPr>
        <w:jc w:val="both"/>
        <w:rPr>
          <w:rFonts w:ascii="Times New Roman" w:hAnsi="Times New Roman"/>
          <w:szCs w:val="24"/>
        </w:rPr>
      </w:pPr>
    </w:p>
    <w:p w14:paraId="7255176B" w14:textId="77777777" w:rsidR="00E67628" w:rsidRPr="00450676" w:rsidRDefault="00E67628" w:rsidP="00450676">
      <w:pPr>
        <w:jc w:val="both"/>
        <w:rPr>
          <w:rFonts w:ascii="Times New Roman" w:hAnsi="Times New Roman"/>
          <w:szCs w:val="24"/>
        </w:rPr>
      </w:pPr>
      <w:r w:rsidRPr="00450676">
        <w:rPr>
          <w:rFonts w:ascii="Times New Roman" w:hAnsi="Times New Roman"/>
          <w:szCs w:val="24"/>
        </w:rPr>
        <w:t>As a longtime resident of the US, with US Citizen family members and no criminal record (in fact an unambiguous record of significant assistance to law enforcement), we ask the Service to find Luis’ testimony regarding his entry to be credible, and allow him to adjust status to that of permanent resident based upon his marriage of nearly fifteen years.</w:t>
      </w:r>
    </w:p>
    <w:p w14:paraId="4570541D" w14:textId="77777777" w:rsidR="00E67628" w:rsidRPr="00450676" w:rsidRDefault="00E67628" w:rsidP="00450676">
      <w:pPr>
        <w:keepLines/>
        <w:jc w:val="both"/>
        <w:rPr>
          <w:rFonts w:ascii="Times New Roman" w:hAnsi="Times New Roman"/>
          <w:b/>
          <w:szCs w:val="24"/>
          <w:u w:val="single"/>
        </w:rPr>
      </w:pPr>
    </w:p>
    <w:p w14:paraId="0157BA46" w14:textId="77777777" w:rsidR="00E67628" w:rsidRPr="00450676" w:rsidRDefault="00E67628" w:rsidP="00450676">
      <w:pPr>
        <w:keepLines/>
        <w:jc w:val="both"/>
        <w:rPr>
          <w:rFonts w:ascii="Times New Roman" w:hAnsi="Times New Roman"/>
          <w:b/>
          <w:szCs w:val="24"/>
          <w:u w:val="single"/>
        </w:rPr>
      </w:pPr>
    </w:p>
    <w:p w14:paraId="1D91CBD3" w14:textId="77777777" w:rsidR="00E67628" w:rsidRPr="00450676" w:rsidRDefault="00E67628" w:rsidP="00450676">
      <w:pPr>
        <w:keepLines/>
        <w:jc w:val="both"/>
        <w:rPr>
          <w:rFonts w:ascii="Times New Roman" w:hAnsi="Times New Roman"/>
          <w:b/>
          <w:szCs w:val="24"/>
          <w:u w:val="single"/>
        </w:rPr>
      </w:pPr>
    </w:p>
    <w:p w14:paraId="7D452090" w14:textId="77777777" w:rsidR="00E67628" w:rsidRPr="00450676" w:rsidRDefault="00E67628" w:rsidP="00450676">
      <w:pPr>
        <w:keepLines/>
        <w:jc w:val="both"/>
        <w:rPr>
          <w:rFonts w:ascii="Times New Roman" w:hAnsi="Times New Roman"/>
          <w:b/>
          <w:szCs w:val="24"/>
          <w:u w:val="single"/>
        </w:rPr>
      </w:pPr>
    </w:p>
    <w:p w14:paraId="5FFF2185" w14:textId="77777777" w:rsidR="00E67628" w:rsidRPr="00450676" w:rsidRDefault="00E67628" w:rsidP="00450676">
      <w:pPr>
        <w:keepLines/>
        <w:jc w:val="both"/>
        <w:rPr>
          <w:rFonts w:ascii="Times New Roman" w:hAnsi="Times New Roman"/>
          <w:b/>
          <w:szCs w:val="24"/>
          <w:u w:val="single"/>
        </w:rPr>
      </w:pPr>
    </w:p>
    <w:p w14:paraId="59B5CE72" w14:textId="77777777" w:rsidR="00E67628" w:rsidRPr="00450676" w:rsidRDefault="00E67628" w:rsidP="00450676">
      <w:pPr>
        <w:keepLines/>
        <w:jc w:val="both"/>
        <w:rPr>
          <w:rFonts w:ascii="Times New Roman" w:hAnsi="Times New Roman"/>
          <w:b/>
          <w:szCs w:val="24"/>
          <w:u w:val="single"/>
        </w:rPr>
      </w:pPr>
    </w:p>
    <w:p w14:paraId="2EBDD12B" w14:textId="77777777" w:rsidR="0030106B" w:rsidRPr="00450676" w:rsidRDefault="0030106B" w:rsidP="00450676">
      <w:pPr>
        <w:keepLines/>
        <w:jc w:val="both"/>
        <w:rPr>
          <w:rFonts w:ascii="Times New Roman" w:hAnsi="Times New Roman"/>
          <w:b/>
          <w:szCs w:val="24"/>
        </w:rPr>
      </w:pPr>
      <w:bookmarkStart w:id="0" w:name="_GoBack"/>
      <w:r w:rsidRPr="00450676">
        <w:rPr>
          <w:rFonts w:ascii="Times New Roman" w:hAnsi="Times New Roman"/>
          <w:b/>
          <w:szCs w:val="24"/>
          <w:u w:val="single"/>
        </w:rPr>
        <w:t>The Legal Standard for Determining Lawful Admission</w:t>
      </w:r>
      <w:r w:rsidRPr="00450676">
        <w:rPr>
          <w:rFonts w:ascii="Times New Roman" w:hAnsi="Times New Roman"/>
          <w:b/>
          <w:szCs w:val="24"/>
        </w:rPr>
        <w:t>:</w:t>
      </w:r>
    </w:p>
    <w:p w14:paraId="430E2BB9" w14:textId="77777777" w:rsidR="0030106B" w:rsidRPr="00450676" w:rsidRDefault="0030106B" w:rsidP="00450676">
      <w:pPr>
        <w:keepLines/>
        <w:jc w:val="both"/>
        <w:rPr>
          <w:rFonts w:ascii="Times New Roman" w:hAnsi="Times New Roman"/>
          <w:szCs w:val="24"/>
        </w:rPr>
      </w:pPr>
    </w:p>
    <w:p w14:paraId="11B02E87" w14:textId="77777777" w:rsidR="0030106B" w:rsidRPr="00450676" w:rsidRDefault="0030106B" w:rsidP="00450676">
      <w:pPr>
        <w:keepLines/>
        <w:jc w:val="both"/>
        <w:rPr>
          <w:rFonts w:ascii="Times New Roman" w:hAnsi="Times New Roman"/>
          <w:szCs w:val="24"/>
        </w:rPr>
      </w:pPr>
      <w:r w:rsidRPr="00450676">
        <w:rPr>
          <w:rFonts w:ascii="Times New Roman" w:hAnsi="Times New Roman"/>
          <w:szCs w:val="24"/>
        </w:rPr>
        <w:t xml:space="preserve">In considering </w:t>
      </w:r>
      <w:r w:rsidR="00E67628" w:rsidRPr="00450676">
        <w:rPr>
          <w:rFonts w:ascii="Times New Roman" w:hAnsi="Times New Roman"/>
          <w:szCs w:val="24"/>
        </w:rPr>
        <w:t xml:space="preserve">Mr. Hernandez-Lopez’s </w:t>
      </w:r>
      <w:r w:rsidRPr="00450676">
        <w:rPr>
          <w:rFonts w:ascii="Times New Roman" w:hAnsi="Times New Roman"/>
          <w:szCs w:val="24"/>
        </w:rPr>
        <w:t xml:space="preserve">lawful admission or parole into the United States, we would ask the AAO consider the </w:t>
      </w:r>
      <w:r w:rsidRPr="00450676">
        <w:rPr>
          <w:rFonts w:ascii="Times New Roman" w:hAnsi="Times New Roman"/>
          <w:i/>
          <w:szCs w:val="24"/>
        </w:rPr>
        <w:t xml:space="preserve">Matter of </w:t>
      </w:r>
      <w:proofErr w:type="spellStart"/>
      <w:r w:rsidRPr="00450676">
        <w:rPr>
          <w:rFonts w:ascii="Times New Roman" w:hAnsi="Times New Roman"/>
          <w:i/>
          <w:szCs w:val="24"/>
        </w:rPr>
        <w:t>Areguillin</w:t>
      </w:r>
      <w:proofErr w:type="spellEnd"/>
      <w:r w:rsidRPr="00450676">
        <w:rPr>
          <w:rFonts w:ascii="Times New Roman" w:hAnsi="Times New Roman"/>
          <w:szCs w:val="24"/>
        </w:rPr>
        <w:t>, 17 I&amp;N Dec. 308, (1980), which holds:</w:t>
      </w:r>
    </w:p>
    <w:p w14:paraId="2EF5AE1C" w14:textId="77777777" w:rsidR="0030106B" w:rsidRPr="00450676" w:rsidRDefault="0030106B" w:rsidP="00450676">
      <w:pPr>
        <w:keepLines/>
        <w:jc w:val="both"/>
        <w:rPr>
          <w:rFonts w:ascii="Times New Roman" w:hAnsi="Times New Roman"/>
          <w:szCs w:val="24"/>
        </w:rPr>
      </w:pPr>
    </w:p>
    <w:p w14:paraId="22254370" w14:textId="77777777" w:rsidR="0030106B" w:rsidRPr="00450676" w:rsidRDefault="0030106B" w:rsidP="00450676">
      <w:pPr>
        <w:pStyle w:val="ListParagraph"/>
        <w:keepLines/>
        <w:numPr>
          <w:ilvl w:val="0"/>
          <w:numId w:val="1"/>
        </w:numPr>
        <w:ind w:right="720"/>
        <w:jc w:val="both"/>
        <w:rPr>
          <w:rFonts w:ascii="Times New Roman" w:hAnsi="Times New Roman"/>
          <w:szCs w:val="24"/>
        </w:rPr>
      </w:pPr>
      <w:r w:rsidRPr="00450676">
        <w:rPr>
          <w:rFonts w:ascii="Times New Roman" w:hAnsi="Times New Roman"/>
          <w:szCs w:val="24"/>
        </w:rPr>
        <w:t>An alien who physically presents herself for questioning and makes no knowing false claim to citizenship is “inspected” even though she volunteers no information and is asked no questions by the immigration authorities, and has satisfied the “inspection and admission” requirement of section 245 of the Immigration and Nationality Act, 8 U.S.C. 1255.</w:t>
      </w:r>
    </w:p>
    <w:p w14:paraId="0A98DC4F" w14:textId="77777777" w:rsidR="0030106B" w:rsidRPr="00450676" w:rsidRDefault="0030106B" w:rsidP="00450676">
      <w:pPr>
        <w:pStyle w:val="ListParagraph"/>
        <w:keepLines/>
        <w:ind w:left="1080" w:right="720"/>
        <w:jc w:val="both"/>
        <w:rPr>
          <w:rFonts w:ascii="Times New Roman" w:hAnsi="Times New Roman"/>
          <w:szCs w:val="24"/>
        </w:rPr>
      </w:pPr>
    </w:p>
    <w:p w14:paraId="25487427" w14:textId="77777777" w:rsidR="0030106B" w:rsidRPr="00450676" w:rsidRDefault="0030106B" w:rsidP="00450676">
      <w:pPr>
        <w:pStyle w:val="ListParagraph"/>
        <w:keepLines/>
        <w:numPr>
          <w:ilvl w:val="0"/>
          <w:numId w:val="1"/>
        </w:numPr>
        <w:ind w:right="720"/>
        <w:jc w:val="both"/>
        <w:rPr>
          <w:rFonts w:ascii="Times New Roman" w:hAnsi="Times New Roman"/>
          <w:szCs w:val="24"/>
        </w:rPr>
      </w:pPr>
      <w:r w:rsidRPr="00450676">
        <w:rPr>
          <w:rFonts w:ascii="Times New Roman" w:hAnsi="Times New Roman"/>
          <w:szCs w:val="24"/>
        </w:rPr>
        <w:t>“Admission” occurs when the inspecting officer communicates to the applicant that he has determined that the applicant is not inadmissible.  That communication has taken place when the inspector permits the applicant to pass through the port of entry.</w:t>
      </w:r>
    </w:p>
    <w:p w14:paraId="679CD182" w14:textId="77777777" w:rsidR="0030106B" w:rsidRPr="00450676" w:rsidRDefault="0030106B" w:rsidP="00450676">
      <w:pPr>
        <w:pStyle w:val="ListParagraph"/>
        <w:keepLines/>
        <w:jc w:val="both"/>
        <w:rPr>
          <w:rFonts w:ascii="Times New Roman" w:hAnsi="Times New Roman"/>
          <w:szCs w:val="24"/>
        </w:rPr>
      </w:pPr>
    </w:p>
    <w:p w14:paraId="061E6429" w14:textId="77777777" w:rsidR="0030106B" w:rsidRPr="00450676" w:rsidRDefault="0030106B" w:rsidP="00450676">
      <w:pPr>
        <w:pStyle w:val="ListParagraph"/>
        <w:keepLines/>
        <w:numPr>
          <w:ilvl w:val="0"/>
          <w:numId w:val="1"/>
        </w:numPr>
        <w:ind w:right="720"/>
        <w:jc w:val="both"/>
        <w:rPr>
          <w:rFonts w:ascii="Times New Roman" w:hAnsi="Times New Roman"/>
          <w:szCs w:val="24"/>
        </w:rPr>
      </w:pPr>
      <w:r w:rsidRPr="00450676">
        <w:rPr>
          <w:rFonts w:ascii="Times New Roman" w:hAnsi="Times New Roman"/>
          <w:szCs w:val="24"/>
        </w:rPr>
        <w:t>The respondent bears the burden of proving that she in fact presented herself for inspection as an element of establishing eligibility of status.</w:t>
      </w:r>
    </w:p>
    <w:p w14:paraId="56F53D01" w14:textId="77777777" w:rsidR="0030106B" w:rsidRPr="00450676" w:rsidRDefault="0030106B" w:rsidP="00450676">
      <w:pPr>
        <w:pStyle w:val="ListParagraph"/>
        <w:keepLines/>
        <w:jc w:val="both"/>
        <w:rPr>
          <w:rFonts w:ascii="Times New Roman" w:hAnsi="Times New Roman"/>
          <w:szCs w:val="24"/>
        </w:rPr>
      </w:pPr>
      <w:r w:rsidRPr="00450676">
        <w:rPr>
          <w:rFonts w:ascii="Times New Roman" w:hAnsi="Times New Roman"/>
          <w:i/>
          <w:szCs w:val="24"/>
        </w:rPr>
        <w:t xml:space="preserve">Matter of </w:t>
      </w:r>
      <w:proofErr w:type="spellStart"/>
      <w:r w:rsidRPr="00450676">
        <w:rPr>
          <w:rFonts w:ascii="Times New Roman" w:hAnsi="Times New Roman"/>
          <w:i/>
          <w:szCs w:val="24"/>
        </w:rPr>
        <w:t>Areguillin</w:t>
      </w:r>
      <w:proofErr w:type="spellEnd"/>
      <w:r w:rsidRPr="00450676">
        <w:rPr>
          <w:rFonts w:ascii="Times New Roman" w:hAnsi="Times New Roman"/>
          <w:i/>
          <w:szCs w:val="24"/>
        </w:rPr>
        <w:t>, at 308</w:t>
      </w:r>
    </w:p>
    <w:p w14:paraId="19322D7A" w14:textId="77777777" w:rsidR="0030106B" w:rsidRPr="00450676" w:rsidRDefault="0030106B" w:rsidP="00450676">
      <w:pPr>
        <w:pStyle w:val="ListParagraph"/>
        <w:keepLines/>
        <w:jc w:val="both"/>
        <w:rPr>
          <w:rFonts w:ascii="Times New Roman" w:hAnsi="Times New Roman"/>
          <w:szCs w:val="24"/>
        </w:rPr>
      </w:pPr>
    </w:p>
    <w:p w14:paraId="35075A31" w14:textId="77777777" w:rsidR="0030106B" w:rsidRPr="00450676" w:rsidRDefault="0030106B" w:rsidP="00450676">
      <w:pPr>
        <w:keepLines/>
        <w:autoSpaceDE w:val="0"/>
        <w:autoSpaceDN w:val="0"/>
        <w:adjustRightInd w:val="0"/>
        <w:jc w:val="both"/>
        <w:rPr>
          <w:rFonts w:ascii="Times New Roman" w:hAnsi="Times New Roman"/>
          <w:szCs w:val="24"/>
        </w:rPr>
      </w:pPr>
      <w:r w:rsidRPr="00450676">
        <w:rPr>
          <w:rFonts w:ascii="Times New Roman" w:hAnsi="Times New Roman"/>
          <w:szCs w:val="24"/>
        </w:rPr>
        <w:t xml:space="preserve">The primary guidance for establishing the </w:t>
      </w:r>
      <w:r w:rsidRPr="00450676">
        <w:rPr>
          <w:rFonts w:ascii="Times New Roman" w:hAnsi="Times New Roman"/>
          <w:b/>
          <w:i/>
          <w:szCs w:val="24"/>
        </w:rPr>
        <w:t>burden of proof</w:t>
      </w:r>
      <w:r w:rsidRPr="00450676">
        <w:rPr>
          <w:rFonts w:ascii="Times New Roman" w:hAnsi="Times New Roman"/>
          <w:szCs w:val="24"/>
        </w:rPr>
        <w:t xml:space="preserve"> for a legal entry is contained in a 2006 USCIS memorandum dealing with Adjustment of Status applicants.  </w:t>
      </w:r>
    </w:p>
    <w:p w14:paraId="761BDE77" w14:textId="77777777" w:rsidR="0030106B" w:rsidRPr="00450676" w:rsidRDefault="0030106B" w:rsidP="00450676">
      <w:pPr>
        <w:keepLines/>
        <w:autoSpaceDE w:val="0"/>
        <w:autoSpaceDN w:val="0"/>
        <w:adjustRightInd w:val="0"/>
        <w:jc w:val="both"/>
        <w:rPr>
          <w:rFonts w:ascii="Times New Roman" w:hAnsi="Times New Roman"/>
          <w:szCs w:val="24"/>
        </w:rPr>
      </w:pPr>
    </w:p>
    <w:p w14:paraId="2632852D" w14:textId="77777777" w:rsidR="0030106B" w:rsidRPr="00450676" w:rsidRDefault="0030106B" w:rsidP="00450676">
      <w:pPr>
        <w:keepLines/>
        <w:autoSpaceDE w:val="0"/>
        <w:autoSpaceDN w:val="0"/>
        <w:adjustRightInd w:val="0"/>
        <w:jc w:val="both"/>
        <w:rPr>
          <w:rFonts w:ascii="Times New Roman" w:hAnsi="Times New Roman"/>
          <w:szCs w:val="24"/>
        </w:rPr>
      </w:pPr>
      <w:r w:rsidRPr="00450676">
        <w:rPr>
          <w:rFonts w:ascii="Times New Roman" w:hAnsi="Times New Roman"/>
          <w:szCs w:val="24"/>
        </w:rPr>
        <w:t xml:space="preserve">The Memo states that the alien has the burden of proof to establish admission and inspection by </w:t>
      </w:r>
      <w:r w:rsidRPr="00450676">
        <w:rPr>
          <w:rFonts w:ascii="Times New Roman" w:hAnsi="Times New Roman"/>
          <w:iCs/>
          <w:szCs w:val="24"/>
        </w:rPr>
        <w:t>a mere</w:t>
      </w:r>
      <w:r w:rsidRPr="00450676">
        <w:rPr>
          <w:rFonts w:ascii="Times New Roman" w:hAnsi="Times New Roman"/>
          <w:i/>
          <w:iCs/>
          <w:szCs w:val="24"/>
        </w:rPr>
        <w:t xml:space="preserve"> </w:t>
      </w:r>
      <w:r w:rsidRPr="00450676">
        <w:rPr>
          <w:rFonts w:ascii="Times New Roman" w:hAnsi="Times New Roman"/>
          <w:b/>
          <w:i/>
          <w:iCs/>
          <w:szCs w:val="24"/>
        </w:rPr>
        <w:t>preponderance</w:t>
      </w:r>
      <w:r w:rsidRPr="00450676">
        <w:rPr>
          <w:rFonts w:ascii="Times New Roman" w:hAnsi="Times New Roman"/>
          <w:b/>
          <w:szCs w:val="24"/>
        </w:rPr>
        <w:t xml:space="preserve"> </w:t>
      </w:r>
      <w:r w:rsidRPr="00450676">
        <w:rPr>
          <w:rFonts w:ascii="Times New Roman" w:hAnsi="Times New Roman"/>
          <w:b/>
          <w:i/>
          <w:iCs/>
          <w:szCs w:val="24"/>
        </w:rPr>
        <w:t>of the evidence</w:t>
      </w:r>
      <w:r w:rsidRPr="00450676">
        <w:rPr>
          <w:rFonts w:ascii="Times New Roman" w:hAnsi="Times New Roman"/>
          <w:szCs w:val="24"/>
        </w:rPr>
        <w:t xml:space="preserve">. </w:t>
      </w:r>
      <w:r w:rsidRPr="00450676">
        <w:rPr>
          <w:rStyle w:val="FootnoteReference"/>
          <w:rFonts w:ascii="Times New Roman" w:hAnsi="Times New Roman"/>
          <w:szCs w:val="24"/>
        </w:rPr>
        <w:footnoteReference w:id="2"/>
      </w:r>
    </w:p>
    <w:p w14:paraId="7B2BD241" w14:textId="77777777" w:rsidR="0030106B" w:rsidRPr="00450676" w:rsidRDefault="0030106B" w:rsidP="00450676">
      <w:pPr>
        <w:keepLines/>
        <w:autoSpaceDE w:val="0"/>
        <w:autoSpaceDN w:val="0"/>
        <w:adjustRightInd w:val="0"/>
        <w:jc w:val="both"/>
        <w:rPr>
          <w:rFonts w:ascii="Times New Roman" w:hAnsi="Times New Roman"/>
          <w:szCs w:val="24"/>
        </w:rPr>
      </w:pPr>
    </w:p>
    <w:p w14:paraId="5B2E0FAF" w14:textId="77777777" w:rsidR="0030106B" w:rsidRPr="00450676" w:rsidRDefault="0030106B" w:rsidP="00450676">
      <w:pPr>
        <w:keepLines/>
        <w:autoSpaceDE w:val="0"/>
        <w:autoSpaceDN w:val="0"/>
        <w:adjustRightInd w:val="0"/>
        <w:jc w:val="both"/>
        <w:rPr>
          <w:rFonts w:ascii="Times New Roman" w:hAnsi="Times New Roman"/>
          <w:szCs w:val="24"/>
        </w:rPr>
      </w:pPr>
      <w:r w:rsidRPr="00450676">
        <w:rPr>
          <w:rFonts w:ascii="Times New Roman" w:hAnsi="Times New Roman"/>
          <w:szCs w:val="24"/>
        </w:rPr>
        <w:t>The 2006 USCIS memo specifically instructs that:</w:t>
      </w:r>
    </w:p>
    <w:p w14:paraId="111C8106" w14:textId="77777777" w:rsidR="0030106B" w:rsidRPr="00450676" w:rsidRDefault="0030106B" w:rsidP="00450676">
      <w:pPr>
        <w:keepLines/>
        <w:autoSpaceDE w:val="0"/>
        <w:autoSpaceDN w:val="0"/>
        <w:adjustRightInd w:val="0"/>
        <w:jc w:val="both"/>
        <w:rPr>
          <w:rFonts w:ascii="Times New Roman" w:hAnsi="Times New Roman"/>
          <w:szCs w:val="24"/>
        </w:rPr>
      </w:pPr>
    </w:p>
    <w:p w14:paraId="0D8E6B7F" w14:textId="77777777" w:rsidR="0030106B" w:rsidRPr="00450676" w:rsidRDefault="0030106B" w:rsidP="00450676">
      <w:pPr>
        <w:keepLines/>
        <w:autoSpaceDE w:val="0"/>
        <w:autoSpaceDN w:val="0"/>
        <w:adjustRightInd w:val="0"/>
        <w:ind w:left="720" w:right="720"/>
        <w:jc w:val="both"/>
        <w:rPr>
          <w:rFonts w:ascii="Times New Roman" w:hAnsi="Times New Roman"/>
          <w:b/>
          <w:szCs w:val="24"/>
        </w:rPr>
      </w:pPr>
      <w:r w:rsidRPr="00450676">
        <w:rPr>
          <w:rFonts w:ascii="Times New Roman" w:hAnsi="Times New Roman"/>
          <w:szCs w:val="24"/>
        </w:rPr>
        <w:t xml:space="preserve"> </w:t>
      </w:r>
      <w:r w:rsidRPr="00450676">
        <w:rPr>
          <w:rFonts w:ascii="Times New Roman" w:hAnsi="Times New Roman"/>
          <w:b/>
          <w:szCs w:val="24"/>
        </w:rPr>
        <w:t>"[</w:t>
      </w:r>
      <w:proofErr w:type="gramStart"/>
      <w:r w:rsidRPr="00450676">
        <w:rPr>
          <w:rFonts w:ascii="Times New Roman" w:hAnsi="Times New Roman"/>
          <w:b/>
          <w:szCs w:val="24"/>
        </w:rPr>
        <w:t>E]</w:t>
      </w:r>
      <w:proofErr w:type="spellStart"/>
      <w:r w:rsidRPr="00450676">
        <w:rPr>
          <w:rFonts w:ascii="Times New Roman" w:hAnsi="Times New Roman"/>
          <w:b/>
          <w:szCs w:val="24"/>
        </w:rPr>
        <w:t>ven</w:t>
      </w:r>
      <w:proofErr w:type="spellEnd"/>
      <w:proofErr w:type="gramEnd"/>
      <w:r w:rsidRPr="00450676">
        <w:rPr>
          <w:rFonts w:ascii="Times New Roman" w:hAnsi="Times New Roman"/>
          <w:b/>
          <w:szCs w:val="24"/>
        </w:rPr>
        <w:t xml:space="preserve"> if the director has some doubt as to the truth, if the petitioner submits relevant, probative, and credible evidence that leads the director to believe that the claim is 'probably true' or 'more likely than not,' the applicant or petitioner has satisfied the standard of proof.” </w:t>
      </w:r>
    </w:p>
    <w:p w14:paraId="2BBE8FF9" w14:textId="77777777" w:rsidR="0030106B" w:rsidRPr="00450676" w:rsidRDefault="0030106B" w:rsidP="00450676">
      <w:pPr>
        <w:keepLines/>
        <w:autoSpaceDE w:val="0"/>
        <w:autoSpaceDN w:val="0"/>
        <w:adjustRightInd w:val="0"/>
        <w:ind w:left="720" w:right="720"/>
        <w:jc w:val="both"/>
        <w:rPr>
          <w:rFonts w:ascii="Times New Roman" w:hAnsi="Times New Roman"/>
          <w:szCs w:val="24"/>
        </w:rPr>
      </w:pPr>
    </w:p>
    <w:p w14:paraId="48A61D12" w14:textId="77777777" w:rsidR="0030106B" w:rsidRPr="00450676" w:rsidRDefault="0030106B" w:rsidP="00450676">
      <w:pPr>
        <w:keepLines/>
        <w:autoSpaceDE w:val="0"/>
        <w:autoSpaceDN w:val="0"/>
        <w:adjustRightInd w:val="0"/>
        <w:ind w:left="720" w:right="720"/>
        <w:jc w:val="both"/>
        <w:rPr>
          <w:rFonts w:ascii="Times New Roman" w:hAnsi="Times New Roman"/>
          <w:szCs w:val="24"/>
        </w:rPr>
      </w:pPr>
      <w:r w:rsidRPr="00450676">
        <w:rPr>
          <w:rFonts w:ascii="Times New Roman" w:hAnsi="Times New Roman"/>
          <w:szCs w:val="24"/>
        </w:rPr>
        <w:t xml:space="preserve">Memorandum of Robert C. Divine, USCIS Acting Deputy Director, </w:t>
      </w:r>
    </w:p>
    <w:p w14:paraId="27B61EAC" w14:textId="77777777" w:rsidR="0030106B" w:rsidRPr="00450676" w:rsidRDefault="0030106B" w:rsidP="00450676">
      <w:pPr>
        <w:keepLines/>
        <w:autoSpaceDE w:val="0"/>
        <w:autoSpaceDN w:val="0"/>
        <w:adjustRightInd w:val="0"/>
        <w:ind w:left="720" w:right="720"/>
        <w:jc w:val="both"/>
        <w:rPr>
          <w:rFonts w:ascii="Times New Roman" w:hAnsi="Times New Roman"/>
          <w:szCs w:val="24"/>
        </w:rPr>
      </w:pPr>
      <w:r w:rsidRPr="00450676">
        <w:rPr>
          <w:rFonts w:ascii="Times New Roman" w:hAnsi="Times New Roman"/>
          <w:szCs w:val="24"/>
        </w:rPr>
        <w:t>January 11, 2006.  (Emphasis added)</w:t>
      </w:r>
    </w:p>
    <w:p w14:paraId="10C36BE0" w14:textId="77777777" w:rsidR="0030106B" w:rsidRPr="00450676" w:rsidRDefault="0030106B" w:rsidP="00450676">
      <w:pPr>
        <w:keepLines/>
        <w:ind w:right="720"/>
        <w:jc w:val="both"/>
        <w:rPr>
          <w:rFonts w:ascii="Times New Roman" w:hAnsi="Times New Roman"/>
          <w:szCs w:val="24"/>
        </w:rPr>
      </w:pPr>
    </w:p>
    <w:p w14:paraId="340E3D7A" w14:textId="77777777" w:rsidR="0030106B" w:rsidRPr="00450676" w:rsidRDefault="0030106B" w:rsidP="00450676">
      <w:pPr>
        <w:keepLines/>
        <w:jc w:val="both"/>
        <w:rPr>
          <w:rFonts w:ascii="Times New Roman" w:hAnsi="Times New Roman"/>
          <w:szCs w:val="24"/>
        </w:rPr>
      </w:pPr>
      <w:r w:rsidRPr="00450676">
        <w:rPr>
          <w:rFonts w:ascii="Times New Roman" w:hAnsi="Times New Roman"/>
          <w:szCs w:val="24"/>
        </w:rPr>
        <w:t xml:space="preserve">All of the evidence indicates that, </w:t>
      </w:r>
      <w:r w:rsidR="00E67628" w:rsidRPr="00450676">
        <w:rPr>
          <w:rFonts w:ascii="Times New Roman" w:hAnsi="Times New Roman"/>
          <w:szCs w:val="24"/>
        </w:rPr>
        <w:t xml:space="preserve">Mr. Hernandez-Lopez </w:t>
      </w:r>
      <w:r w:rsidRPr="00450676">
        <w:rPr>
          <w:rFonts w:ascii="Times New Roman" w:hAnsi="Times New Roman"/>
          <w:szCs w:val="24"/>
        </w:rPr>
        <w:t xml:space="preserve">is an honest and reliable man.  There is no evidence that he is not.  </w:t>
      </w:r>
    </w:p>
    <w:p w14:paraId="215947A4" w14:textId="77777777" w:rsidR="0030106B" w:rsidRPr="00450676" w:rsidRDefault="0030106B" w:rsidP="00450676">
      <w:pPr>
        <w:keepLines/>
        <w:jc w:val="both"/>
        <w:rPr>
          <w:rFonts w:ascii="Times New Roman" w:hAnsi="Times New Roman"/>
          <w:szCs w:val="24"/>
        </w:rPr>
      </w:pPr>
    </w:p>
    <w:p w14:paraId="791E1BA4" w14:textId="77777777" w:rsidR="0030106B" w:rsidRPr="00450676" w:rsidRDefault="0030106B" w:rsidP="00450676">
      <w:pPr>
        <w:keepLines/>
        <w:jc w:val="both"/>
        <w:rPr>
          <w:rFonts w:ascii="Times New Roman" w:hAnsi="Times New Roman"/>
          <w:szCs w:val="24"/>
        </w:rPr>
      </w:pPr>
      <w:r w:rsidRPr="00450676">
        <w:rPr>
          <w:rFonts w:ascii="Times New Roman" w:hAnsi="Times New Roman"/>
          <w:szCs w:val="24"/>
        </w:rPr>
        <w:t>Others back up h</w:t>
      </w:r>
      <w:r w:rsidR="00E67628" w:rsidRPr="00450676">
        <w:rPr>
          <w:rFonts w:ascii="Times New Roman" w:hAnsi="Times New Roman"/>
          <w:szCs w:val="24"/>
        </w:rPr>
        <w:t>is</w:t>
      </w:r>
      <w:r w:rsidRPr="00450676">
        <w:rPr>
          <w:rFonts w:ascii="Times New Roman" w:hAnsi="Times New Roman"/>
          <w:szCs w:val="24"/>
        </w:rPr>
        <w:t xml:space="preserve"> statement regarding entry.</w:t>
      </w:r>
    </w:p>
    <w:p w14:paraId="13176435" w14:textId="77777777" w:rsidR="0030106B" w:rsidRPr="00450676" w:rsidRDefault="0030106B" w:rsidP="00450676">
      <w:pPr>
        <w:keepLines/>
        <w:jc w:val="both"/>
        <w:rPr>
          <w:rFonts w:ascii="Times New Roman" w:hAnsi="Times New Roman"/>
          <w:szCs w:val="24"/>
        </w:rPr>
      </w:pPr>
    </w:p>
    <w:p w14:paraId="036C0206" w14:textId="77777777" w:rsidR="0030106B" w:rsidRPr="00450676" w:rsidRDefault="0030106B" w:rsidP="00450676">
      <w:pPr>
        <w:keepLines/>
        <w:jc w:val="both"/>
        <w:rPr>
          <w:rFonts w:ascii="Times New Roman" w:hAnsi="Times New Roman"/>
          <w:szCs w:val="24"/>
        </w:rPr>
      </w:pPr>
      <w:r w:rsidRPr="00450676">
        <w:rPr>
          <w:rFonts w:ascii="Times New Roman" w:hAnsi="Times New Roman"/>
          <w:szCs w:val="24"/>
        </w:rPr>
        <w:t xml:space="preserve">As a longtime resident of the United States, with U.S. Citizen family members – including a spouse – and no criminal record, we ask the Service to find Luis’ testimony regarding his entry to be </w:t>
      </w:r>
      <w:r w:rsidRPr="00450676">
        <w:rPr>
          <w:rFonts w:ascii="Times New Roman" w:hAnsi="Times New Roman"/>
          <w:i/>
          <w:szCs w:val="24"/>
        </w:rPr>
        <w:t>credible</w:t>
      </w:r>
      <w:r w:rsidRPr="00450676">
        <w:rPr>
          <w:rFonts w:ascii="Times New Roman" w:hAnsi="Times New Roman"/>
          <w:szCs w:val="24"/>
        </w:rPr>
        <w:t xml:space="preserve">, and </w:t>
      </w:r>
      <w:r w:rsidRPr="00450676">
        <w:rPr>
          <w:rFonts w:ascii="Times New Roman" w:hAnsi="Times New Roman"/>
          <w:i/>
          <w:szCs w:val="24"/>
        </w:rPr>
        <w:t>allow him to adjust status</w:t>
      </w:r>
      <w:r w:rsidRPr="00450676">
        <w:rPr>
          <w:rFonts w:ascii="Times New Roman" w:hAnsi="Times New Roman"/>
          <w:szCs w:val="24"/>
        </w:rPr>
        <w:t xml:space="preserve"> to that of permanent resident based upon his marriage.</w:t>
      </w:r>
    </w:p>
    <w:p w14:paraId="61965F91" w14:textId="77777777" w:rsidR="0030106B" w:rsidRPr="00450676" w:rsidRDefault="0030106B" w:rsidP="00450676">
      <w:pPr>
        <w:keepLines/>
        <w:jc w:val="both"/>
        <w:rPr>
          <w:rFonts w:ascii="Times New Roman" w:hAnsi="Times New Roman"/>
          <w:szCs w:val="24"/>
        </w:rPr>
      </w:pPr>
    </w:p>
    <w:p w14:paraId="60DD3123" w14:textId="77777777" w:rsidR="0030106B" w:rsidRPr="00450676" w:rsidRDefault="0030106B" w:rsidP="00450676">
      <w:pPr>
        <w:keepLines/>
        <w:jc w:val="both"/>
        <w:rPr>
          <w:rFonts w:ascii="Times New Roman" w:hAnsi="Times New Roman"/>
          <w:szCs w:val="24"/>
        </w:rPr>
      </w:pPr>
      <w:r w:rsidRPr="00450676">
        <w:rPr>
          <w:rFonts w:ascii="Times New Roman" w:hAnsi="Times New Roman"/>
          <w:szCs w:val="24"/>
        </w:rPr>
        <w:t>INA Section 245(a) allows adjustment of status for those, like Luis, who were “inspected, admitted or paroled” into the United States.</w:t>
      </w:r>
    </w:p>
    <w:p w14:paraId="20B30866" w14:textId="77777777" w:rsidR="0030106B" w:rsidRPr="00450676" w:rsidRDefault="0030106B" w:rsidP="00450676">
      <w:pPr>
        <w:keepLines/>
        <w:jc w:val="both"/>
        <w:rPr>
          <w:rFonts w:ascii="Times New Roman" w:hAnsi="Times New Roman"/>
          <w:szCs w:val="24"/>
        </w:rPr>
      </w:pPr>
    </w:p>
    <w:p w14:paraId="0F55EE20" w14:textId="77777777" w:rsidR="0030106B" w:rsidRPr="00450676" w:rsidRDefault="0030106B" w:rsidP="00450676">
      <w:pPr>
        <w:keepLines/>
        <w:jc w:val="both"/>
        <w:rPr>
          <w:rFonts w:ascii="Times New Roman" w:hAnsi="Times New Roman"/>
          <w:szCs w:val="24"/>
        </w:rPr>
      </w:pPr>
      <w:r w:rsidRPr="00450676">
        <w:rPr>
          <w:rFonts w:ascii="Times New Roman" w:hAnsi="Times New Roman"/>
          <w:i/>
          <w:szCs w:val="24"/>
        </w:rPr>
        <w:t xml:space="preserve">Matter of </w:t>
      </w:r>
      <w:proofErr w:type="spellStart"/>
      <w:r w:rsidRPr="00450676">
        <w:rPr>
          <w:rFonts w:ascii="Times New Roman" w:hAnsi="Times New Roman"/>
          <w:i/>
          <w:szCs w:val="24"/>
        </w:rPr>
        <w:t>Areguillin</w:t>
      </w:r>
      <w:proofErr w:type="spellEnd"/>
      <w:r w:rsidRPr="00450676">
        <w:rPr>
          <w:rFonts w:ascii="Times New Roman" w:hAnsi="Times New Roman"/>
          <w:szCs w:val="24"/>
        </w:rPr>
        <w:t xml:space="preserve"> clearly finds that an alien’s credible testimony that </w:t>
      </w:r>
      <w:r w:rsidR="00E67628" w:rsidRPr="00450676">
        <w:rPr>
          <w:rFonts w:ascii="Times New Roman" w:hAnsi="Times New Roman"/>
          <w:szCs w:val="24"/>
        </w:rPr>
        <w:t>he or she</w:t>
      </w:r>
      <w:r w:rsidRPr="00450676">
        <w:rPr>
          <w:rFonts w:ascii="Times New Roman" w:hAnsi="Times New Roman"/>
          <w:szCs w:val="24"/>
        </w:rPr>
        <w:t xml:space="preserve"> has been admitted is sufficient to meet the burden of proof required for adjustment of status.</w:t>
      </w:r>
      <w:r w:rsidRPr="00450676">
        <w:rPr>
          <w:rStyle w:val="FootnoteReference"/>
          <w:rFonts w:ascii="Times New Roman" w:hAnsi="Times New Roman"/>
          <w:szCs w:val="24"/>
        </w:rPr>
        <w:footnoteReference w:id="3"/>
      </w:r>
    </w:p>
    <w:p w14:paraId="6E9CF686" w14:textId="77777777" w:rsidR="0030106B" w:rsidRPr="00450676" w:rsidRDefault="0030106B" w:rsidP="00450676">
      <w:pPr>
        <w:keepLines/>
        <w:autoSpaceDE w:val="0"/>
        <w:autoSpaceDN w:val="0"/>
        <w:adjustRightInd w:val="0"/>
        <w:jc w:val="both"/>
        <w:rPr>
          <w:rFonts w:ascii="Times New Roman" w:hAnsi="Times New Roman"/>
          <w:szCs w:val="24"/>
        </w:rPr>
      </w:pPr>
    </w:p>
    <w:p w14:paraId="16AA55AA" w14:textId="77777777" w:rsidR="0030106B" w:rsidRPr="00450676" w:rsidRDefault="0030106B" w:rsidP="00450676">
      <w:pPr>
        <w:keepLines/>
        <w:autoSpaceDE w:val="0"/>
        <w:autoSpaceDN w:val="0"/>
        <w:adjustRightInd w:val="0"/>
        <w:jc w:val="both"/>
        <w:rPr>
          <w:rFonts w:ascii="Times New Roman" w:hAnsi="Times New Roman"/>
          <w:szCs w:val="24"/>
        </w:rPr>
      </w:pPr>
      <w:r w:rsidRPr="00450676">
        <w:rPr>
          <w:rFonts w:ascii="Times New Roman" w:hAnsi="Times New Roman"/>
          <w:szCs w:val="24"/>
        </w:rPr>
        <w:t>As the Service is aware, the Board</w:t>
      </w:r>
      <w:r w:rsidR="00E67628" w:rsidRPr="00450676">
        <w:rPr>
          <w:rFonts w:ascii="Times New Roman" w:hAnsi="Times New Roman"/>
          <w:szCs w:val="24"/>
        </w:rPr>
        <w:t xml:space="preserve"> of Immigration Appeals</w:t>
      </w:r>
      <w:r w:rsidRPr="00450676">
        <w:rPr>
          <w:rFonts w:ascii="Times New Roman" w:hAnsi="Times New Roman"/>
          <w:szCs w:val="24"/>
        </w:rPr>
        <w:t xml:space="preserve"> </w:t>
      </w:r>
      <w:r w:rsidR="00E67628" w:rsidRPr="00450676">
        <w:rPr>
          <w:rFonts w:ascii="Times New Roman" w:hAnsi="Times New Roman"/>
          <w:szCs w:val="24"/>
        </w:rPr>
        <w:t xml:space="preserve">recently </w:t>
      </w:r>
      <w:r w:rsidRPr="00450676">
        <w:rPr>
          <w:rFonts w:ascii="Times New Roman" w:hAnsi="Times New Roman"/>
          <w:szCs w:val="24"/>
        </w:rPr>
        <w:t xml:space="preserve">reaffirmed </w:t>
      </w:r>
      <w:r w:rsidRPr="00450676">
        <w:rPr>
          <w:rFonts w:ascii="Times New Roman" w:hAnsi="Times New Roman"/>
          <w:i/>
          <w:iCs/>
          <w:szCs w:val="24"/>
        </w:rPr>
        <w:t xml:space="preserve">Matter of </w:t>
      </w:r>
      <w:proofErr w:type="spellStart"/>
      <w:r w:rsidRPr="00450676">
        <w:rPr>
          <w:rFonts w:ascii="Times New Roman" w:hAnsi="Times New Roman"/>
          <w:i/>
          <w:iCs/>
          <w:szCs w:val="24"/>
        </w:rPr>
        <w:t>Areguillin</w:t>
      </w:r>
      <w:proofErr w:type="spellEnd"/>
      <w:r w:rsidRPr="00450676">
        <w:rPr>
          <w:rFonts w:ascii="Times New Roman" w:hAnsi="Times New Roman"/>
          <w:szCs w:val="24"/>
        </w:rPr>
        <w:t xml:space="preserve"> </w:t>
      </w:r>
      <w:proofErr w:type="gramStart"/>
      <w:r w:rsidRPr="00450676">
        <w:rPr>
          <w:rFonts w:ascii="Times New Roman" w:hAnsi="Times New Roman"/>
          <w:szCs w:val="24"/>
        </w:rPr>
        <w:t xml:space="preserve">in </w:t>
      </w:r>
      <w:r w:rsidRPr="00450676">
        <w:rPr>
          <w:rFonts w:ascii="Times New Roman" w:hAnsi="Times New Roman"/>
          <w:bCs/>
          <w:i/>
          <w:iCs/>
          <w:szCs w:val="24"/>
        </w:rPr>
        <w:t xml:space="preserve">Matter of </w:t>
      </w:r>
      <w:proofErr w:type="spellStart"/>
      <w:r w:rsidRPr="00450676">
        <w:rPr>
          <w:rFonts w:ascii="Times New Roman" w:hAnsi="Times New Roman"/>
          <w:bCs/>
          <w:i/>
          <w:iCs/>
          <w:szCs w:val="24"/>
        </w:rPr>
        <w:t>Quilantan</w:t>
      </w:r>
      <w:proofErr w:type="spellEnd"/>
      <w:r w:rsidRPr="00450676">
        <w:rPr>
          <w:rFonts w:ascii="Times New Roman" w:hAnsi="Times New Roman"/>
          <w:szCs w:val="24"/>
        </w:rPr>
        <w:t>, 25 I&amp;N 285</w:t>
      </w:r>
      <w:proofErr w:type="gramEnd"/>
      <w:r w:rsidRPr="00450676">
        <w:rPr>
          <w:rFonts w:ascii="Times New Roman" w:hAnsi="Times New Roman"/>
          <w:szCs w:val="24"/>
        </w:rPr>
        <w:t xml:space="preserve"> (BIA July 28, 2010).  </w:t>
      </w:r>
    </w:p>
    <w:p w14:paraId="1FA50C4A" w14:textId="77777777" w:rsidR="0030106B" w:rsidRPr="00450676" w:rsidRDefault="0030106B" w:rsidP="00450676">
      <w:pPr>
        <w:keepLines/>
        <w:autoSpaceDE w:val="0"/>
        <w:autoSpaceDN w:val="0"/>
        <w:adjustRightInd w:val="0"/>
        <w:jc w:val="both"/>
        <w:rPr>
          <w:rFonts w:ascii="Times New Roman" w:hAnsi="Times New Roman"/>
          <w:szCs w:val="24"/>
        </w:rPr>
      </w:pPr>
    </w:p>
    <w:p w14:paraId="19D528D5" w14:textId="77777777" w:rsidR="0030106B" w:rsidRPr="00450676" w:rsidRDefault="0030106B" w:rsidP="00450676">
      <w:pPr>
        <w:keepLines/>
        <w:autoSpaceDE w:val="0"/>
        <w:autoSpaceDN w:val="0"/>
        <w:adjustRightInd w:val="0"/>
        <w:jc w:val="both"/>
        <w:rPr>
          <w:rFonts w:ascii="Times New Roman" w:hAnsi="Times New Roman"/>
          <w:szCs w:val="24"/>
        </w:rPr>
      </w:pPr>
      <w:r w:rsidRPr="00450676">
        <w:rPr>
          <w:rFonts w:ascii="Times New Roman" w:hAnsi="Times New Roman"/>
          <w:szCs w:val="24"/>
        </w:rPr>
        <w:t xml:space="preserve">Ms. </w:t>
      </w:r>
      <w:proofErr w:type="spellStart"/>
      <w:r w:rsidRPr="00450676">
        <w:rPr>
          <w:rFonts w:ascii="Times New Roman" w:hAnsi="Times New Roman"/>
          <w:szCs w:val="24"/>
        </w:rPr>
        <w:t>Quilantan</w:t>
      </w:r>
      <w:proofErr w:type="spellEnd"/>
      <w:r w:rsidRPr="00450676">
        <w:rPr>
          <w:rFonts w:ascii="Times New Roman" w:hAnsi="Times New Roman"/>
          <w:szCs w:val="24"/>
        </w:rPr>
        <w:t xml:space="preserve">, like Luis, was not able to produce copies of travel documents. Luis </w:t>
      </w:r>
      <w:r w:rsidRPr="00450676">
        <w:rPr>
          <w:rFonts w:ascii="Times New Roman" w:hAnsi="Times New Roman"/>
          <w:i/>
          <w:szCs w:val="24"/>
        </w:rPr>
        <w:t>has</w:t>
      </w:r>
      <w:r w:rsidRPr="00450676">
        <w:rPr>
          <w:rFonts w:ascii="Times New Roman" w:hAnsi="Times New Roman"/>
          <w:szCs w:val="24"/>
        </w:rPr>
        <w:t xml:space="preserve"> provided a copy of </w:t>
      </w:r>
      <w:r w:rsidRPr="00450676">
        <w:rPr>
          <w:rFonts w:ascii="Times New Roman" w:hAnsi="Times New Roman"/>
          <w:i/>
          <w:szCs w:val="24"/>
        </w:rPr>
        <w:t>a police report showing that his passport, which contained the entry stamp, was stolen</w:t>
      </w:r>
      <w:r w:rsidRPr="00450676">
        <w:rPr>
          <w:rFonts w:ascii="Times New Roman" w:hAnsi="Times New Roman"/>
          <w:szCs w:val="24"/>
        </w:rPr>
        <w:t xml:space="preserve"> from his apartment in Kauai.</w:t>
      </w:r>
    </w:p>
    <w:p w14:paraId="218C44D4" w14:textId="77777777" w:rsidR="0030106B" w:rsidRPr="00450676" w:rsidRDefault="0030106B" w:rsidP="00450676">
      <w:pPr>
        <w:keepLines/>
        <w:autoSpaceDE w:val="0"/>
        <w:autoSpaceDN w:val="0"/>
        <w:adjustRightInd w:val="0"/>
        <w:jc w:val="both"/>
        <w:rPr>
          <w:rFonts w:ascii="Times New Roman" w:hAnsi="Times New Roman"/>
          <w:szCs w:val="24"/>
        </w:rPr>
      </w:pPr>
    </w:p>
    <w:p w14:paraId="1D393D81" w14:textId="77777777" w:rsidR="0030106B" w:rsidRPr="00450676" w:rsidRDefault="0030106B" w:rsidP="00450676">
      <w:pPr>
        <w:keepLines/>
        <w:autoSpaceDE w:val="0"/>
        <w:autoSpaceDN w:val="0"/>
        <w:adjustRightInd w:val="0"/>
        <w:jc w:val="both"/>
        <w:rPr>
          <w:rFonts w:ascii="Times New Roman" w:hAnsi="Times New Roman"/>
          <w:szCs w:val="24"/>
        </w:rPr>
      </w:pPr>
      <w:r w:rsidRPr="00450676">
        <w:rPr>
          <w:rFonts w:ascii="Times New Roman" w:hAnsi="Times New Roman"/>
          <w:szCs w:val="24"/>
        </w:rPr>
        <w:t xml:space="preserve">Significantly, in </w:t>
      </w:r>
      <w:proofErr w:type="spellStart"/>
      <w:r w:rsidRPr="00450676">
        <w:rPr>
          <w:rFonts w:ascii="Times New Roman" w:hAnsi="Times New Roman"/>
          <w:i/>
          <w:iCs/>
          <w:szCs w:val="24"/>
        </w:rPr>
        <w:t>Quilantan</w:t>
      </w:r>
      <w:proofErr w:type="spellEnd"/>
      <w:r w:rsidRPr="00450676">
        <w:rPr>
          <w:rFonts w:ascii="Times New Roman" w:hAnsi="Times New Roman"/>
          <w:i/>
          <w:iCs/>
          <w:szCs w:val="24"/>
        </w:rPr>
        <w:t xml:space="preserve">, </w:t>
      </w:r>
      <w:r w:rsidRPr="00450676">
        <w:rPr>
          <w:rFonts w:ascii="Times New Roman" w:hAnsi="Times New Roman"/>
          <w:szCs w:val="24"/>
        </w:rPr>
        <w:t xml:space="preserve">the BIA referenced </w:t>
      </w:r>
      <w:r w:rsidRPr="00450676">
        <w:rPr>
          <w:rFonts w:ascii="Times New Roman" w:hAnsi="Times New Roman"/>
          <w:i/>
          <w:szCs w:val="24"/>
        </w:rPr>
        <w:t>only</w:t>
      </w:r>
      <w:r w:rsidRPr="00450676">
        <w:rPr>
          <w:rFonts w:ascii="Times New Roman" w:hAnsi="Times New Roman"/>
          <w:szCs w:val="24"/>
        </w:rPr>
        <w:t xml:space="preserve"> the respondent's testimony. The </w:t>
      </w:r>
      <w:r w:rsidR="00E67628" w:rsidRPr="00450676">
        <w:rPr>
          <w:rFonts w:ascii="Times New Roman" w:hAnsi="Times New Roman"/>
          <w:szCs w:val="24"/>
        </w:rPr>
        <w:t>administrative agency</w:t>
      </w:r>
      <w:r w:rsidRPr="00450676">
        <w:rPr>
          <w:rFonts w:ascii="Times New Roman" w:hAnsi="Times New Roman"/>
          <w:szCs w:val="24"/>
        </w:rPr>
        <w:t xml:space="preserve"> found that the facts</w:t>
      </w:r>
      <w:r w:rsidRPr="00450676">
        <w:rPr>
          <w:rFonts w:ascii="Times New Roman" w:hAnsi="Times New Roman"/>
          <w:i/>
          <w:iCs/>
          <w:szCs w:val="24"/>
        </w:rPr>
        <w:t xml:space="preserve"> </w:t>
      </w:r>
      <w:r w:rsidRPr="00450676">
        <w:rPr>
          <w:rFonts w:ascii="Times New Roman" w:hAnsi="Times New Roman"/>
          <w:szCs w:val="24"/>
        </w:rPr>
        <w:t>were not in dispute</w:t>
      </w:r>
      <w:r w:rsidR="00E67628" w:rsidRPr="00450676">
        <w:rPr>
          <w:rFonts w:ascii="Times New Roman" w:hAnsi="Times New Roman"/>
          <w:szCs w:val="24"/>
        </w:rPr>
        <w:t>, when credible testimony regarding entry is offered</w:t>
      </w:r>
      <w:r w:rsidRPr="00450676">
        <w:rPr>
          <w:rFonts w:ascii="Times New Roman" w:hAnsi="Times New Roman"/>
          <w:szCs w:val="24"/>
        </w:rPr>
        <w:t>.</w:t>
      </w:r>
    </w:p>
    <w:p w14:paraId="37F93217" w14:textId="77777777" w:rsidR="00E67628" w:rsidRPr="00450676" w:rsidRDefault="00E67628" w:rsidP="00450676">
      <w:pPr>
        <w:keepLines/>
        <w:autoSpaceDE w:val="0"/>
        <w:autoSpaceDN w:val="0"/>
        <w:adjustRightInd w:val="0"/>
        <w:jc w:val="both"/>
        <w:rPr>
          <w:rFonts w:ascii="Times New Roman" w:hAnsi="Times New Roman"/>
          <w:szCs w:val="24"/>
        </w:rPr>
      </w:pPr>
    </w:p>
    <w:p w14:paraId="6E0366FB" w14:textId="77777777" w:rsidR="00E67628" w:rsidRPr="00450676" w:rsidRDefault="00E67628" w:rsidP="00450676">
      <w:pPr>
        <w:keepLines/>
        <w:autoSpaceDE w:val="0"/>
        <w:autoSpaceDN w:val="0"/>
        <w:adjustRightInd w:val="0"/>
        <w:jc w:val="both"/>
        <w:rPr>
          <w:rFonts w:ascii="Times New Roman" w:hAnsi="Times New Roman"/>
          <w:szCs w:val="24"/>
        </w:rPr>
      </w:pPr>
      <w:r w:rsidRPr="00450676">
        <w:rPr>
          <w:rFonts w:ascii="Times New Roman" w:hAnsi="Times New Roman"/>
          <w:szCs w:val="24"/>
        </w:rPr>
        <w:t>Based upon the forgoing facts and legal standards, we ask that Mr. Hernandez-Lopez’s testimony and evidence regarding his entry with inspection, be accepted as true and credible – allowing him to adjust status as the husband of a US Citizen.</w:t>
      </w:r>
    </w:p>
    <w:p w14:paraId="1392A818" w14:textId="77777777" w:rsidR="00DF7E39" w:rsidRPr="00450676" w:rsidRDefault="00DF7E39" w:rsidP="00450676">
      <w:pPr>
        <w:jc w:val="both"/>
        <w:rPr>
          <w:rFonts w:ascii="Times New Roman" w:hAnsi="Times New Roman"/>
          <w:szCs w:val="24"/>
        </w:rPr>
      </w:pPr>
    </w:p>
    <w:bookmarkEnd w:id="0"/>
    <w:sectPr w:rsidR="00DF7E39" w:rsidRPr="00450676" w:rsidSect="00A33FF6">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57EED" w14:textId="77777777" w:rsidR="00450676" w:rsidRDefault="00450676" w:rsidP="0030106B">
      <w:r>
        <w:separator/>
      </w:r>
    </w:p>
  </w:endnote>
  <w:endnote w:type="continuationSeparator" w:id="0">
    <w:p w14:paraId="66007FCD" w14:textId="77777777" w:rsidR="00450676" w:rsidRDefault="00450676" w:rsidP="0030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aramond">
    <w:panose1 w:val="02020404030301010803"/>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74C66" w14:textId="77777777" w:rsidR="00450676" w:rsidRDefault="00450676" w:rsidP="0030106B">
      <w:r>
        <w:separator/>
      </w:r>
    </w:p>
  </w:footnote>
  <w:footnote w:type="continuationSeparator" w:id="0">
    <w:p w14:paraId="11B18DA8" w14:textId="77777777" w:rsidR="00450676" w:rsidRDefault="00450676" w:rsidP="0030106B">
      <w:r>
        <w:continuationSeparator/>
      </w:r>
    </w:p>
  </w:footnote>
  <w:footnote w:id="1">
    <w:p w14:paraId="216A697F" w14:textId="77777777" w:rsidR="00450676" w:rsidRPr="009E108C" w:rsidRDefault="00450676" w:rsidP="00E67628">
      <w:pPr>
        <w:pStyle w:val="FootnoteText"/>
        <w:rPr>
          <w:rFonts w:ascii="Garamond" w:hAnsi="Garamond"/>
          <w:sz w:val="22"/>
          <w:szCs w:val="22"/>
        </w:rPr>
      </w:pPr>
      <w:r w:rsidRPr="009E108C">
        <w:rPr>
          <w:rStyle w:val="FootnoteReference"/>
          <w:rFonts w:ascii="Garamond" w:hAnsi="Garamond"/>
          <w:sz w:val="22"/>
          <w:szCs w:val="22"/>
        </w:rPr>
        <w:footnoteRef/>
      </w:r>
      <w:r w:rsidRPr="009E108C">
        <w:rPr>
          <w:rFonts w:ascii="Garamond" w:hAnsi="Garamond"/>
          <w:sz w:val="22"/>
          <w:szCs w:val="22"/>
        </w:rPr>
        <w:t xml:space="preserve"> </w:t>
      </w:r>
      <w:r w:rsidRPr="00F4496B">
        <w:rPr>
          <w:rFonts w:ascii="Garamond" w:hAnsi="Garamond"/>
          <w:i/>
          <w:sz w:val="22"/>
          <w:szCs w:val="22"/>
        </w:rPr>
        <w:t>Matter of Areguillen</w:t>
      </w:r>
      <w:proofErr w:type="gramStart"/>
      <w:r>
        <w:rPr>
          <w:rFonts w:ascii="Garamond" w:hAnsi="Garamond"/>
          <w:i/>
          <w:sz w:val="22"/>
          <w:szCs w:val="22"/>
        </w:rPr>
        <w:t>,</w:t>
      </w:r>
      <w:r w:rsidRPr="00F4496B">
        <w:rPr>
          <w:rFonts w:ascii="Garamond" w:hAnsi="Garamond"/>
          <w:sz w:val="22"/>
          <w:szCs w:val="22"/>
        </w:rPr>
        <w:t>171</w:t>
      </w:r>
      <w:proofErr w:type="gramEnd"/>
      <w:r w:rsidRPr="00F4496B">
        <w:rPr>
          <w:rFonts w:ascii="Garamond" w:hAnsi="Garamond"/>
          <w:sz w:val="22"/>
          <w:szCs w:val="22"/>
        </w:rPr>
        <w:t xml:space="preserve"> I&amp;N Dec. 308 (BIA 2009).  See also: </w:t>
      </w:r>
      <w:r w:rsidRPr="00F4496B">
        <w:rPr>
          <w:rFonts w:ascii="Garamond" w:hAnsi="Garamond"/>
          <w:i/>
          <w:sz w:val="22"/>
          <w:szCs w:val="22"/>
        </w:rPr>
        <w:t xml:space="preserve">Matter of </w:t>
      </w:r>
      <w:proofErr w:type="spellStart"/>
      <w:r w:rsidRPr="00F4496B">
        <w:rPr>
          <w:rFonts w:ascii="Garamond" w:hAnsi="Garamond"/>
          <w:i/>
          <w:sz w:val="22"/>
          <w:szCs w:val="22"/>
        </w:rPr>
        <w:t>Quilantan</w:t>
      </w:r>
      <w:proofErr w:type="spellEnd"/>
      <w:r>
        <w:rPr>
          <w:rFonts w:ascii="Garamond" w:hAnsi="Garamond"/>
          <w:i/>
          <w:sz w:val="22"/>
          <w:szCs w:val="22"/>
        </w:rPr>
        <w:t>,</w:t>
      </w:r>
      <w:r w:rsidRPr="00F4496B">
        <w:rPr>
          <w:rFonts w:ascii="Garamond" w:hAnsi="Garamond"/>
          <w:sz w:val="22"/>
          <w:szCs w:val="22"/>
        </w:rPr>
        <w:t xml:space="preserve"> 25 I&amp;N 285 (BIA July 28 2010); </w:t>
      </w:r>
      <w:proofErr w:type="spellStart"/>
      <w:r w:rsidRPr="00F4496B">
        <w:rPr>
          <w:rFonts w:ascii="Garamond" w:hAnsi="Garamond"/>
          <w:i/>
          <w:sz w:val="22"/>
          <w:szCs w:val="22"/>
        </w:rPr>
        <w:t>Hing</w:t>
      </w:r>
      <w:proofErr w:type="spellEnd"/>
      <w:r w:rsidRPr="00F4496B">
        <w:rPr>
          <w:rFonts w:ascii="Garamond" w:hAnsi="Garamond"/>
          <w:i/>
          <w:sz w:val="22"/>
          <w:szCs w:val="22"/>
        </w:rPr>
        <w:t xml:space="preserve"> Sum v. Holder</w:t>
      </w:r>
      <w:r w:rsidRPr="00F4496B">
        <w:rPr>
          <w:rFonts w:ascii="Garamond" w:hAnsi="Garamond"/>
          <w:sz w:val="22"/>
          <w:szCs w:val="22"/>
        </w:rPr>
        <w:t>, 602 F.3d 1092 (9th Cir. 2010)</w:t>
      </w:r>
    </w:p>
  </w:footnote>
  <w:footnote w:id="2">
    <w:p w14:paraId="0A5DEC4E" w14:textId="77777777" w:rsidR="00450676" w:rsidRPr="008D4B07" w:rsidRDefault="00450676" w:rsidP="0030106B">
      <w:pPr>
        <w:keepLines/>
        <w:autoSpaceDE w:val="0"/>
        <w:autoSpaceDN w:val="0"/>
        <w:adjustRightInd w:val="0"/>
        <w:jc w:val="both"/>
        <w:rPr>
          <w:rFonts w:ascii="Times New Roman" w:hAnsi="Times New Roman"/>
          <w:sz w:val="20"/>
        </w:rPr>
      </w:pPr>
      <w:r w:rsidRPr="008D4B07">
        <w:rPr>
          <w:rStyle w:val="FootnoteReference"/>
          <w:rFonts w:ascii="Times New Roman" w:hAnsi="Times New Roman"/>
          <w:sz w:val="20"/>
        </w:rPr>
        <w:footnoteRef/>
      </w:r>
      <w:r w:rsidRPr="008D4B07">
        <w:rPr>
          <w:rFonts w:ascii="Times New Roman" w:hAnsi="Times New Roman"/>
          <w:sz w:val="20"/>
        </w:rPr>
        <w:t xml:space="preserve"> Law.com defines “preponderance of the evidence” as follows:</w:t>
      </w:r>
      <w:r w:rsidRPr="008D4B07">
        <w:rPr>
          <w:rFonts w:ascii="Times New Roman" w:hAnsi="Times New Roman"/>
          <w:b/>
          <w:bCs/>
          <w:color w:val="142D68"/>
          <w:sz w:val="20"/>
        </w:rPr>
        <w:t xml:space="preserve"> </w:t>
      </w:r>
      <w:r w:rsidRPr="008D4B07">
        <w:rPr>
          <w:rFonts w:ascii="Times New Roman" w:hAnsi="Times New Roman"/>
          <w:b/>
          <w:bCs/>
          <w:sz w:val="20"/>
        </w:rPr>
        <w:t>preponderance of the evidence</w:t>
      </w:r>
    </w:p>
    <w:p w14:paraId="503F2488" w14:textId="77777777" w:rsidR="00450676" w:rsidRDefault="00450676" w:rsidP="0030106B">
      <w:pPr>
        <w:keepLines/>
        <w:autoSpaceDE w:val="0"/>
        <w:autoSpaceDN w:val="0"/>
        <w:adjustRightInd w:val="0"/>
        <w:spacing w:after="100"/>
        <w:jc w:val="both"/>
        <w:rPr>
          <w:rFonts w:ascii="Times New Roman" w:hAnsi="Times New Roman"/>
          <w:color w:val="262626"/>
          <w:sz w:val="20"/>
        </w:rPr>
      </w:pPr>
      <w:r w:rsidRPr="008D4B07">
        <w:rPr>
          <w:rFonts w:ascii="Times New Roman" w:hAnsi="Times New Roman"/>
          <w:color w:val="262626"/>
          <w:sz w:val="20"/>
        </w:rPr>
        <w:t xml:space="preserve">n. </w:t>
      </w:r>
      <w:proofErr w:type="gramStart"/>
      <w:r w:rsidRPr="008D4B07">
        <w:rPr>
          <w:rFonts w:ascii="Times New Roman" w:hAnsi="Times New Roman"/>
          <w:color w:val="262626"/>
          <w:sz w:val="20"/>
        </w:rPr>
        <w:t>the</w:t>
      </w:r>
      <w:proofErr w:type="gramEnd"/>
      <w:r w:rsidRPr="008D4B07">
        <w:rPr>
          <w:rFonts w:ascii="Times New Roman" w:hAnsi="Times New Roman"/>
          <w:color w:val="262626"/>
          <w:sz w:val="20"/>
        </w:rPr>
        <w:t xml:space="preserve"> greater weight of the evidence required in a civil (non-criminal) lawsuit for the trier of fact (jury or judge without a jury) to decide in favor of one side or the other. This preponderance is based on the more convincing evidence and its probable truth or accuracy, and not on the amount of evidence. Thus, one clearly knowledgeable witness may provide a preponderance of evidence over a dozen witnesses with hazy testimony, or a signed agreement with definite terms may outweigh opinions or speculation about what the parties intended. Preponderance of the evidence is required in a civil case and is contrasted with "beyond a reasonable doubt," which is the more severe test of evidence required to convict in a criminal trial. No matter what the definition stated in various legal opinions, the meaning is somewhat subjective.</w:t>
      </w:r>
      <w:r>
        <w:rPr>
          <w:rFonts w:ascii="Times New Roman" w:hAnsi="Times New Roman"/>
          <w:color w:val="262626"/>
          <w:sz w:val="20"/>
        </w:rPr>
        <w:t xml:space="preserve"> </w:t>
      </w:r>
    </w:p>
    <w:p w14:paraId="21695817" w14:textId="77777777" w:rsidR="00450676" w:rsidRDefault="00450676" w:rsidP="0030106B">
      <w:pPr>
        <w:keepLines/>
        <w:autoSpaceDE w:val="0"/>
        <w:autoSpaceDN w:val="0"/>
        <w:adjustRightInd w:val="0"/>
        <w:spacing w:after="100"/>
        <w:jc w:val="both"/>
        <w:rPr>
          <w:rFonts w:ascii="Times New Roman" w:hAnsi="Times New Roman"/>
          <w:sz w:val="20"/>
        </w:rPr>
      </w:pPr>
      <w:r w:rsidRPr="007679DB">
        <w:rPr>
          <w:rFonts w:ascii="Times New Roman" w:hAnsi="Times New Roman"/>
          <w:sz w:val="20"/>
        </w:rPr>
        <w:t>http://dictionary.law.com/Default.aspx?selected=1586</w:t>
      </w:r>
    </w:p>
    <w:p w14:paraId="6165264C" w14:textId="77777777" w:rsidR="00450676" w:rsidRPr="008D4B07" w:rsidRDefault="00450676" w:rsidP="0030106B">
      <w:pPr>
        <w:keepLines/>
        <w:autoSpaceDE w:val="0"/>
        <w:autoSpaceDN w:val="0"/>
        <w:adjustRightInd w:val="0"/>
        <w:spacing w:after="240"/>
        <w:jc w:val="both"/>
        <w:rPr>
          <w:rFonts w:ascii="Times New Roman" w:hAnsi="Times New Roman"/>
          <w:color w:val="262626"/>
          <w:sz w:val="20"/>
        </w:rPr>
      </w:pPr>
      <w:proofErr w:type="spellStart"/>
      <w:r w:rsidRPr="008D4B07">
        <w:rPr>
          <w:rFonts w:ascii="Times New Roman" w:hAnsi="Times New Roman"/>
          <w:sz w:val="20"/>
        </w:rPr>
        <w:t>USLegal</w:t>
      </w:r>
      <w:proofErr w:type="gramStart"/>
      <w:r w:rsidRPr="008D4B07">
        <w:rPr>
          <w:rFonts w:ascii="Times New Roman" w:hAnsi="Times New Roman"/>
          <w:sz w:val="20"/>
        </w:rPr>
        <w:t>,com</w:t>
      </w:r>
      <w:proofErr w:type="spellEnd"/>
      <w:proofErr w:type="gramEnd"/>
      <w:r w:rsidRPr="008D4B07">
        <w:rPr>
          <w:rFonts w:ascii="Times New Roman" w:hAnsi="Times New Roman"/>
          <w:sz w:val="20"/>
        </w:rPr>
        <w:t xml:space="preserve"> cites the following definition: </w:t>
      </w:r>
      <w:r w:rsidRPr="008D4B07">
        <w:rPr>
          <w:rFonts w:ascii="Times New Roman" w:hAnsi="Times New Roman"/>
          <w:color w:val="262626"/>
          <w:sz w:val="20"/>
        </w:rPr>
        <w:t xml:space="preserve">In most civil cases/lawsuits as well as administrative hearings, a party must prove its claim or position by a preponderance, defined as a superiority in weight, force, importance, etc. In legal terms, a preponderance of evidence means that a party has shown that its version of facts, causes, damages, or fault is </w:t>
      </w:r>
      <w:r w:rsidRPr="008D4B07">
        <w:rPr>
          <w:rFonts w:ascii="Times New Roman" w:hAnsi="Times New Roman"/>
          <w:i/>
          <w:iCs/>
          <w:color w:val="262626"/>
          <w:sz w:val="20"/>
        </w:rPr>
        <w:t>more likely than not</w:t>
      </w:r>
      <w:r w:rsidRPr="008D4B07">
        <w:rPr>
          <w:rFonts w:ascii="Times New Roman" w:hAnsi="Times New Roman"/>
          <w:color w:val="262626"/>
          <w:sz w:val="20"/>
        </w:rPr>
        <w:t xml:space="preserve"> the correct version, as in personal injury and breach of contract suits. This standard is the easiest to meet and applies to all civil cases unless otherwise provided by law.</w:t>
      </w:r>
      <w:r>
        <w:rPr>
          <w:rFonts w:ascii="Times New Roman" w:hAnsi="Times New Roman"/>
          <w:color w:val="262626"/>
          <w:sz w:val="20"/>
        </w:rPr>
        <w:t xml:space="preserve"> </w:t>
      </w:r>
      <w:r w:rsidRPr="007679DB">
        <w:rPr>
          <w:rFonts w:ascii="Times New Roman" w:hAnsi="Times New Roman"/>
          <w:b/>
          <w:color w:val="262626"/>
          <w:sz w:val="20"/>
        </w:rPr>
        <w:t xml:space="preserve">The concept of “preponderance of the evidence” can be visualized as a scale representing the burden of proof, with the totality of evidence presented by each side resting on the respective trays on either side of the scale. If the scale tips ever so slightly to one side or the other, the weightier side will prevail. </w:t>
      </w:r>
      <w:r w:rsidRPr="008D4B07">
        <w:rPr>
          <w:rFonts w:ascii="Times New Roman" w:hAnsi="Times New Roman"/>
          <w:color w:val="262626"/>
          <w:sz w:val="20"/>
        </w:rPr>
        <w:t>If the scale does not tip toward the side of the party bearing the burden of proof, that party cannot prevail.</w:t>
      </w:r>
      <w:r>
        <w:rPr>
          <w:rFonts w:ascii="Times New Roman" w:hAnsi="Times New Roman"/>
          <w:color w:val="262626"/>
          <w:sz w:val="20"/>
        </w:rPr>
        <w:t xml:space="preserve"> (</w:t>
      </w:r>
      <w:proofErr w:type="gramStart"/>
      <w:r>
        <w:rPr>
          <w:rFonts w:ascii="Times New Roman" w:hAnsi="Times New Roman"/>
          <w:color w:val="262626"/>
          <w:sz w:val="20"/>
        </w:rPr>
        <w:t>footnote</w:t>
      </w:r>
      <w:proofErr w:type="gramEnd"/>
      <w:r>
        <w:rPr>
          <w:rFonts w:ascii="Times New Roman" w:hAnsi="Times New Roman"/>
          <w:color w:val="262626"/>
          <w:sz w:val="20"/>
        </w:rPr>
        <w:t xml:space="preserve"> cont.)</w:t>
      </w:r>
    </w:p>
    <w:p w14:paraId="007B1771" w14:textId="77777777" w:rsidR="00450676" w:rsidRPr="009E5C4B" w:rsidRDefault="00450676" w:rsidP="0030106B">
      <w:pPr>
        <w:keepLines/>
        <w:autoSpaceDE w:val="0"/>
        <w:autoSpaceDN w:val="0"/>
        <w:adjustRightInd w:val="0"/>
        <w:jc w:val="both"/>
        <w:rPr>
          <w:rFonts w:ascii="Times New Roman" w:hAnsi="Times New Roman"/>
          <w:color w:val="262626"/>
          <w:sz w:val="20"/>
        </w:rPr>
      </w:pPr>
      <w:r w:rsidRPr="009E5C4B">
        <w:rPr>
          <w:rFonts w:ascii="Times New Roman" w:hAnsi="Times New Roman"/>
          <w:color w:val="262626"/>
          <w:sz w:val="20"/>
        </w:rPr>
        <w:t xml:space="preserve">Trial lawyers will often instruct juries that their clients must prevail at trial if they have proved their positions by </w:t>
      </w:r>
      <w:r w:rsidRPr="009E5C4B">
        <w:rPr>
          <w:rFonts w:ascii="Times New Roman" w:hAnsi="Times New Roman"/>
          <w:b/>
          <w:color w:val="262626"/>
          <w:sz w:val="20"/>
        </w:rPr>
        <w:t>as little as 51 percent likelihood</w:t>
      </w:r>
      <w:r w:rsidRPr="009E5C4B">
        <w:rPr>
          <w:rFonts w:ascii="Times New Roman" w:hAnsi="Times New Roman"/>
          <w:color w:val="262626"/>
          <w:sz w:val="20"/>
        </w:rPr>
        <w:t xml:space="preserve"> of probability (anything from 51 to 100 percent constitutes a preponderance of evidence). In other words</w:t>
      </w:r>
      <w:r>
        <w:rPr>
          <w:rFonts w:ascii="Times New Roman" w:hAnsi="Times New Roman"/>
          <w:color w:val="262626"/>
          <w:sz w:val="20"/>
        </w:rPr>
        <w:t xml:space="preserve">, if a jury believes there is </w:t>
      </w:r>
      <w:proofErr w:type="gramStart"/>
      <w:r>
        <w:rPr>
          <w:rFonts w:ascii="Times New Roman" w:hAnsi="Times New Roman"/>
          <w:color w:val="262626"/>
          <w:sz w:val="20"/>
        </w:rPr>
        <w:t xml:space="preserve">a </w:t>
      </w:r>
      <w:r w:rsidRPr="009E5C4B">
        <w:rPr>
          <w:rFonts w:ascii="Times New Roman" w:hAnsi="Times New Roman"/>
          <w:color w:val="262626"/>
          <w:sz w:val="20"/>
        </w:rPr>
        <w:t>51</w:t>
      </w:r>
      <w:proofErr w:type="gramEnd"/>
      <w:r w:rsidRPr="009E5C4B">
        <w:rPr>
          <w:rFonts w:ascii="Times New Roman" w:hAnsi="Times New Roman"/>
          <w:color w:val="262626"/>
          <w:sz w:val="20"/>
        </w:rPr>
        <w:t>-49 percent likelihood that a defendant (in a civil case) was negligent or liable, the plaintiff/complainant has met its burden of a preponderance of evidence, and will prevail. This is particularly helpful when juries are torn between the testimony of two expert witnesses presenting opposite opinions or views. Whether it is an issue of credibility or of expertise, the jury will decide which is the more likely version that warrants more evidentiary weight.</w:t>
      </w:r>
    </w:p>
    <w:p w14:paraId="0D3EF7C3" w14:textId="77777777" w:rsidR="00450676" w:rsidRPr="009E5C4B" w:rsidRDefault="00450676" w:rsidP="0030106B">
      <w:pPr>
        <w:widowControl w:val="0"/>
        <w:autoSpaceDE w:val="0"/>
        <w:autoSpaceDN w:val="0"/>
        <w:adjustRightInd w:val="0"/>
        <w:jc w:val="right"/>
        <w:rPr>
          <w:rFonts w:ascii="Times New Roman" w:hAnsi="Times New Roman"/>
          <w:color w:val="262626"/>
          <w:sz w:val="20"/>
        </w:rPr>
      </w:pPr>
      <w:r>
        <w:rPr>
          <w:rFonts w:ascii="Times New Roman" w:hAnsi="Times New Roman"/>
          <w:color w:val="262626"/>
          <w:sz w:val="20"/>
        </w:rPr>
        <w:t>(B</w:t>
      </w:r>
      <w:r w:rsidRPr="009E5C4B">
        <w:rPr>
          <w:rFonts w:ascii="Times New Roman" w:hAnsi="Times New Roman"/>
          <w:color w:val="262626"/>
          <w:sz w:val="20"/>
        </w:rPr>
        <w:t>olded emphasis added)</w:t>
      </w:r>
    </w:p>
    <w:p w14:paraId="43B39FAD" w14:textId="77777777" w:rsidR="00450676" w:rsidRPr="009E5C4B" w:rsidRDefault="00450676" w:rsidP="0030106B">
      <w:pPr>
        <w:widowControl w:val="0"/>
        <w:autoSpaceDE w:val="0"/>
        <w:autoSpaceDN w:val="0"/>
        <w:adjustRightInd w:val="0"/>
        <w:jc w:val="right"/>
        <w:rPr>
          <w:rFonts w:ascii="Times New Roman" w:hAnsi="Times New Roman"/>
          <w:color w:val="262626"/>
          <w:sz w:val="20"/>
        </w:rPr>
      </w:pPr>
      <w:r w:rsidRPr="009E5C4B">
        <w:rPr>
          <w:rFonts w:ascii="Times New Roman" w:hAnsi="Times New Roman"/>
          <w:color w:val="262626"/>
          <w:sz w:val="20"/>
        </w:rPr>
        <w:t>http://courts.uslegal.com/burden-of-proof/preponderance-of-the-evidence/</w:t>
      </w:r>
    </w:p>
    <w:p w14:paraId="5D0178CA" w14:textId="77777777" w:rsidR="00450676" w:rsidRPr="009E5C4B" w:rsidRDefault="00450676" w:rsidP="0030106B">
      <w:pPr>
        <w:widowControl w:val="0"/>
        <w:autoSpaceDE w:val="0"/>
        <w:autoSpaceDN w:val="0"/>
        <w:adjustRightInd w:val="0"/>
        <w:rPr>
          <w:rFonts w:ascii="Times New Roman" w:hAnsi="Times New Roman"/>
          <w:color w:val="262626"/>
          <w:sz w:val="20"/>
        </w:rPr>
      </w:pPr>
    </w:p>
    <w:p w14:paraId="1C83C3BD" w14:textId="77777777" w:rsidR="00450676" w:rsidRPr="009E5C4B" w:rsidRDefault="00450676" w:rsidP="0030106B">
      <w:pPr>
        <w:widowControl w:val="0"/>
        <w:autoSpaceDE w:val="0"/>
        <w:autoSpaceDN w:val="0"/>
        <w:adjustRightInd w:val="0"/>
        <w:rPr>
          <w:rFonts w:ascii="Times New Roman" w:hAnsi="Times New Roman"/>
          <w:color w:val="262626"/>
          <w:sz w:val="20"/>
        </w:rPr>
      </w:pPr>
    </w:p>
  </w:footnote>
  <w:footnote w:id="3">
    <w:p w14:paraId="05F8E1C9" w14:textId="77777777" w:rsidR="00450676" w:rsidRPr="009E5C4B" w:rsidRDefault="00450676" w:rsidP="0030106B">
      <w:pPr>
        <w:pStyle w:val="FootnoteText"/>
        <w:rPr>
          <w:rFonts w:ascii="Times New Roman" w:hAnsi="Times New Roman"/>
        </w:rPr>
      </w:pPr>
      <w:r w:rsidRPr="009E5C4B">
        <w:rPr>
          <w:rStyle w:val="FootnoteReference"/>
          <w:rFonts w:ascii="Times New Roman" w:hAnsi="Times New Roman"/>
        </w:rPr>
        <w:footnoteRef/>
      </w:r>
      <w:r w:rsidRPr="009E5C4B">
        <w:rPr>
          <w:rFonts w:ascii="Times New Roman" w:hAnsi="Times New Roman"/>
        </w:rPr>
        <w:t xml:space="preserve"> </w:t>
      </w:r>
      <w:r w:rsidRPr="009E5C4B">
        <w:rPr>
          <w:rFonts w:ascii="Times New Roman" w:hAnsi="Times New Roman"/>
          <w:i/>
        </w:rPr>
        <w:t>Matter of Areguillen</w:t>
      </w:r>
      <w:proofErr w:type="gramStart"/>
      <w:r w:rsidRPr="009E5C4B">
        <w:rPr>
          <w:rFonts w:ascii="Times New Roman" w:hAnsi="Times New Roman"/>
          <w:i/>
        </w:rPr>
        <w:t>,</w:t>
      </w:r>
      <w:r w:rsidRPr="009E5C4B">
        <w:rPr>
          <w:rFonts w:ascii="Times New Roman" w:hAnsi="Times New Roman"/>
        </w:rPr>
        <w:t>171</w:t>
      </w:r>
      <w:proofErr w:type="gramEnd"/>
      <w:r w:rsidRPr="009E5C4B">
        <w:rPr>
          <w:rFonts w:ascii="Times New Roman" w:hAnsi="Times New Roman"/>
        </w:rPr>
        <w:t xml:space="preserve"> I&amp;N Dec. 308 (BIA 2009).  See also: </w:t>
      </w:r>
      <w:r w:rsidRPr="009E5C4B">
        <w:rPr>
          <w:rFonts w:ascii="Times New Roman" w:hAnsi="Times New Roman"/>
          <w:i/>
        </w:rPr>
        <w:t xml:space="preserve">Matter of </w:t>
      </w:r>
      <w:proofErr w:type="spellStart"/>
      <w:r w:rsidRPr="009E5C4B">
        <w:rPr>
          <w:rFonts w:ascii="Times New Roman" w:hAnsi="Times New Roman"/>
          <w:i/>
        </w:rPr>
        <w:t>Quilantan</w:t>
      </w:r>
      <w:proofErr w:type="spellEnd"/>
      <w:r w:rsidRPr="009E5C4B">
        <w:rPr>
          <w:rFonts w:ascii="Times New Roman" w:hAnsi="Times New Roman"/>
          <w:i/>
        </w:rPr>
        <w:t>,</w:t>
      </w:r>
      <w:r w:rsidRPr="009E5C4B">
        <w:rPr>
          <w:rFonts w:ascii="Times New Roman" w:hAnsi="Times New Roman"/>
        </w:rPr>
        <w:t xml:space="preserve"> 25 I&amp;N 285 (BIA July 28 2010); </w:t>
      </w:r>
      <w:proofErr w:type="spellStart"/>
      <w:r w:rsidRPr="009E5C4B">
        <w:rPr>
          <w:rFonts w:ascii="Times New Roman" w:hAnsi="Times New Roman"/>
          <w:i/>
        </w:rPr>
        <w:t>Hing</w:t>
      </w:r>
      <w:proofErr w:type="spellEnd"/>
      <w:r w:rsidRPr="009E5C4B">
        <w:rPr>
          <w:rFonts w:ascii="Times New Roman" w:hAnsi="Times New Roman"/>
          <w:i/>
        </w:rPr>
        <w:t xml:space="preserve"> Sum v. Holder</w:t>
      </w:r>
      <w:r w:rsidRPr="009E5C4B">
        <w:rPr>
          <w:rFonts w:ascii="Times New Roman" w:hAnsi="Times New Roman"/>
        </w:rPr>
        <w:t>, 602 F.3d 1092 (9th Cir. 2010)</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E3E91"/>
    <w:multiLevelType w:val="hybridMultilevel"/>
    <w:tmpl w:val="5376696A"/>
    <w:lvl w:ilvl="0" w:tplc="588ED1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06B"/>
    <w:rsid w:val="0030106B"/>
    <w:rsid w:val="00450676"/>
    <w:rsid w:val="00A31B27"/>
    <w:rsid w:val="00A33FF6"/>
    <w:rsid w:val="00DF7E39"/>
    <w:rsid w:val="00E6762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5215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6"/>
        <w:szCs w:val="26"/>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06B"/>
    <w:rPr>
      <w:rFonts w:ascii="Arial" w:eastAsia="Times New Roman" w:hAnsi="Arial"/>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30106B"/>
    <w:rPr>
      <w:sz w:val="20"/>
    </w:rPr>
  </w:style>
  <w:style w:type="character" w:customStyle="1" w:styleId="FootnoteTextChar">
    <w:name w:val="Footnote Text Char"/>
    <w:basedOn w:val="DefaultParagraphFont"/>
    <w:link w:val="FootnoteText"/>
    <w:rsid w:val="0030106B"/>
    <w:rPr>
      <w:rFonts w:ascii="Arial" w:eastAsia="Times New Roman" w:hAnsi="Arial"/>
      <w:sz w:val="20"/>
      <w:szCs w:val="20"/>
    </w:rPr>
  </w:style>
  <w:style w:type="character" w:styleId="FootnoteReference">
    <w:name w:val="footnote reference"/>
    <w:basedOn w:val="DefaultParagraphFont"/>
    <w:rsid w:val="0030106B"/>
    <w:rPr>
      <w:rFonts w:cs="Times New Roman"/>
      <w:vertAlign w:val="superscript"/>
    </w:rPr>
  </w:style>
  <w:style w:type="paragraph" w:styleId="ListParagraph">
    <w:name w:val="List Paragraph"/>
    <w:basedOn w:val="Normal"/>
    <w:uiPriority w:val="34"/>
    <w:qFormat/>
    <w:rsid w:val="0030106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6"/>
        <w:szCs w:val="26"/>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06B"/>
    <w:rPr>
      <w:rFonts w:ascii="Arial" w:eastAsia="Times New Roman" w:hAnsi="Arial"/>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30106B"/>
    <w:rPr>
      <w:sz w:val="20"/>
    </w:rPr>
  </w:style>
  <w:style w:type="character" w:customStyle="1" w:styleId="FootnoteTextChar">
    <w:name w:val="Footnote Text Char"/>
    <w:basedOn w:val="DefaultParagraphFont"/>
    <w:link w:val="FootnoteText"/>
    <w:rsid w:val="0030106B"/>
    <w:rPr>
      <w:rFonts w:ascii="Arial" w:eastAsia="Times New Roman" w:hAnsi="Arial"/>
      <w:sz w:val="20"/>
      <w:szCs w:val="20"/>
    </w:rPr>
  </w:style>
  <w:style w:type="character" w:styleId="FootnoteReference">
    <w:name w:val="footnote reference"/>
    <w:basedOn w:val="DefaultParagraphFont"/>
    <w:rsid w:val="0030106B"/>
    <w:rPr>
      <w:rFonts w:cs="Times New Roman"/>
      <w:vertAlign w:val="superscript"/>
    </w:rPr>
  </w:style>
  <w:style w:type="paragraph" w:styleId="ListParagraph">
    <w:name w:val="List Paragraph"/>
    <w:basedOn w:val="Normal"/>
    <w:uiPriority w:val="34"/>
    <w:qFormat/>
    <w:rsid w:val="003010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1112</Words>
  <Characters>6345</Characters>
  <Application>Microsoft Macintosh Word</Application>
  <DocSecurity>0</DocSecurity>
  <Lines>52</Lines>
  <Paragraphs>14</Paragraphs>
  <ScaleCrop>false</ScaleCrop>
  <Company>The Law Office of William Frick PLLC</Company>
  <LinksUpToDate>false</LinksUpToDate>
  <CharactersWithSpaces>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Christine Phillips</cp:lastModifiedBy>
  <cp:revision>3</cp:revision>
  <dcterms:created xsi:type="dcterms:W3CDTF">2012-09-05T23:06:00Z</dcterms:created>
  <dcterms:modified xsi:type="dcterms:W3CDTF">2013-03-13T03:14:00Z</dcterms:modified>
</cp:coreProperties>
</file>